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8685D" w14:textId="66CC173F" w:rsidR="007B0A23" w:rsidRPr="007B0A23" w:rsidRDefault="007B0A23" w:rsidP="007B0A23">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B0A23">
        <w:rPr>
          <w:rFonts w:ascii="Arial" w:eastAsia="MS Mincho" w:hAnsi="Arial"/>
          <w:b/>
          <w:sz w:val="24"/>
          <w:szCs w:val="24"/>
          <w:lang w:val="en-GB" w:eastAsia="x-none"/>
        </w:rPr>
        <w:t>3GPP TSG-RAN WG2 Meeting #105bis</w:t>
      </w:r>
      <w:r w:rsidRPr="007B0A23">
        <w:rPr>
          <w:rFonts w:ascii="Arial" w:eastAsia="MS Mincho" w:hAnsi="Arial"/>
          <w:b/>
          <w:sz w:val="24"/>
          <w:szCs w:val="24"/>
          <w:lang w:val="en-GB" w:eastAsia="x-none"/>
        </w:rPr>
        <w:tab/>
        <w:t>R2-19</w:t>
      </w:r>
      <w:r w:rsidR="00822BE1">
        <w:rPr>
          <w:rFonts w:ascii="Arial" w:eastAsia="MS Mincho" w:hAnsi="Arial"/>
          <w:b/>
          <w:sz w:val="24"/>
          <w:szCs w:val="24"/>
          <w:lang w:val="en-GB" w:eastAsia="x-none"/>
        </w:rPr>
        <w:t>04207</w:t>
      </w:r>
    </w:p>
    <w:p w14:paraId="60086796" w14:textId="4D4F2FEE" w:rsidR="007B0A23" w:rsidRPr="007B0A23" w:rsidRDefault="007B0A23" w:rsidP="007B0A23">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B0A23">
        <w:rPr>
          <w:rFonts w:ascii="Arial" w:eastAsia="MS Mincho" w:hAnsi="Arial"/>
          <w:b/>
          <w:sz w:val="24"/>
          <w:szCs w:val="24"/>
          <w:lang w:val="en-GB" w:eastAsia="x-none"/>
        </w:rPr>
        <w:t>Xi'an, China, 8th April - 12th April 2019</w:t>
      </w:r>
      <w:r w:rsidR="00A53EF2">
        <w:rPr>
          <w:rFonts w:ascii="Arial" w:eastAsia="MS Mincho" w:hAnsi="Arial"/>
          <w:b/>
          <w:sz w:val="24"/>
          <w:szCs w:val="24"/>
          <w:lang w:val="en-GB" w:eastAsia="x-none"/>
        </w:rPr>
        <w:t xml:space="preserve">  </w:t>
      </w:r>
    </w:p>
    <w:p w14:paraId="03120934" w14:textId="08F6DA08" w:rsidR="00DA37F9" w:rsidRPr="0017003A" w:rsidRDefault="0017003A" w:rsidP="0017003A">
      <w:pPr>
        <w:widowControl w:val="0"/>
        <w:tabs>
          <w:tab w:val="left" w:pos="1701"/>
          <w:tab w:val="right" w:pos="9923"/>
        </w:tabs>
        <w:autoSpaceDE/>
        <w:autoSpaceDN/>
        <w:adjustRightInd/>
        <w:snapToGrid/>
        <w:spacing w:before="120" w:after="0"/>
        <w:jc w:val="left"/>
        <w:rPr>
          <w:lang w:eastAsia="ja-JP"/>
        </w:rPr>
      </w:pPr>
      <w:r w:rsidRPr="0017003A">
        <w:rPr>
          <w:rFonts w:ascii="Arial" w:eastAsia="MS Mincho" w:hAnsi="Arial"/>
          <w:b/>
          <w:lang w:val="en-GB" w:eastAsia="x-none"/>
        </w:rPr>
        <w:tab/>
      </w:r>
      <w:r w:rsidRPr="00155013">
        <w:rPr>
          <w:rFonts w:eastAsia="MS Mincho" w:cs="Arial"/>
          <w:sz w:val="24"/>
          <w:szCs w:val="24"/>
        </w:rPr>
        <w:tab/>
      </w:r>
    </w:p>
    <w:p w14:paraId="16A07E69" w14:textId="04C01D56" w:rsidR="00842220" w:rsidRPr="0017003A" w:rsidRDefault="00400E60" w:rsidP="007361AB">
      <w:pPr>
        <w:widowControl w:val="0"/>
        <w:tabs>
          <w:tab w:val="left" w:pos="1701"/>
          <w:tab w:val="right" w:pos="9923"/>
        </w:tabs>
        <w:autoSpaceDE/>
        <w:autoSpaceDN/>
        <w:adjustRightInd/>
        <w:snapToGrid/>
        <w:spacing w:before="120" w:after="0"/>
        <w:jc w:val="left"/>
        <w:rPr>
          <w:rFonts w:ascii="Arial" w:eastAsia="MS Mincho" w:hAnsi="Arial"/>
          <w:lang w:val="en-GB" w:eastAsia="x-none"/>
        </w:rPr>
      </w:pPr>
      <w:r w:rsidRPr="007361AB">
        <w:rPr>
          <w:rFonts w:ascii="Arial" w:eastAsia="MS Mincho" w:hAnsi="Arial"/>
          <w:b/>
          <w:lang w:val="en-GB" w:eastAsia="x-none"/>
        </w:rPr>
        <w:t>Agenda Item:</w:t>
      </w:r>
      <w:r w:rsidRPr="007361AB">
        <w:rPr>
          <w:rFonts w:ascii="Arial" w:eastAsia="MS Mincho" w:hAnsi="Arial"/>
          <w:b/>
          <w:lang w:val="en-GB" w:eastAsia="x-none"/>
        </w:rPr>
        <w:tab/>
      </w:r>
      <w:r w:rsidR="006F5BF7" w:rsidRPr="0017003A">
        <w:rPr>
          <w:rFonts w:ascii="Arial" w:eastAsia="MS Mincho" w:hAnsi="Arial"/>
          <w:lang w:val="en-GB" w:eastAsia="x-none"/>
        </w:rPr>
        <w:t>11.2</w:t>
      </w:r>
      <w:r w:rsidR="00585659" w:rsidRPr="0017003A">
        <w:rPr>
          <w:rFonts w:ascii="Arial" w:eastAsia="MS Mincho" w:hAnsi="Arial"/>
          <w:lang w:val="en-GB" w:eastAsia="x-none"/>
        </w:rPr>
        <w:t>.1.1</w:t>
      </w:r>
    </w:p>
    <w:p w14:paraId="261E303A" w14:textId="7DB1DB71" w:rsidR="00842220" w:rsidRPr="007361AB" w:rsidRDefault="00A64B1F"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Source:</w:t>
      </w:r>
      <w:r w:rsidRPr="007361AB">
        <w:rPr>
          <w:rFonts w:ascii="Arial" w:eastAsia="MS Mincho" w:hAnsi="Arial"/>
          <w:b/>
          <w:lang w:val="en-GB" w:eastAsia="x-none"/>
        </w:rPr>
        <w:tab/>
      </w:r>
      <w:r w:rsidR="007065E2" w:rsidRPr="0017003A">
        <w:rPr>
          <w:rFonts w:ascii="Arial" w:eastAsia="MS Mincho" w:hAnsi="Arial"/>
          <w:lang w:val="en-GB" w:eastAsia="x-none"/>
        </w:rPr>
        <w:t>Sony</w:t>
      </w:r>
      <w:r w:rsidR="008440B2" w:rsidRPr="0017003A">
        <w:rPr>
          <w:rFonts w:ascii="Arial" w:eastAsia="MS Mincho" w:hAnsi="Arial"/>
          <w:lang w:val="en-GB" w:eastAsia="x-none"/>
        </w:rPr>
        <w:t xml:space="preserve"> </w:t>
      </w:r>
    </w:p>
    <w:p w14:paraId="6F2CEFBE" w14:textId="1F6D781C" w:rsidR="00842220" w:rsidRPr="007361AB" w:rsidRDefault="00842220"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Title:</w:t>
      </w:r>
      <w:r w:rsidRPr="007361AB">
        <w:rPr>
          <w:rFonts w:ascii="Arial" w:eastAsia="MS Mincho" w:hAnsi="Arial"/>
          <w:b/>
          <w:lang w:val="en-GB" w:eastAsia="x-none"/>
        </w:rPr>
        <w:tab/>
      </w:r>
      <w:r w:rsidR="00CF189E" w:rsidRPr="0017003A">
        <w:rPr>
          <w:rFonts w:ascii="Arial" w:eastAsia="MS Mincho" w:hAnsi="Arial"/>
          <w:lang w:val="en-GB" w:eastAsia="x-none"/>
        </w:rPr>
        <w:t xml:space="preserve">Considerations </w:t>
      </w:r>
      <w:r w:rsidR="00F95BF6" w:rsidRPr="0017003A">
        <w:rPr>
          <w:rFonts w:ascii="Arial" w:eastAsia="MS Mincho" w:hAnsi="Arial"/>
          <w:lang w:val="en-GB" w:eastAsia="x-none"/>
        </w:rPr>
        <w:t>BWP for</w:t>
      </w:r>
      <w:r w:rsidR="00CF189E" w:rsidRPr="0017003A">
        <w:rPr>
          <w:rFonts w:ascii="Arial" w:eastAsia="MS Mincho" w:hAnsi="Arial"/>
          <w:lang w:val="en-GB" w:eastAsia="x-none"/>
        </w:rPr>
        <w:t xml:space="preserve"> initial access for NR unlicensed operations</w:t>
      </w:r>
    </w:p>
    <w:p w14:paraId="29F64196" w14:textId="7AD49D44" w:rsidR="00842220" w:rsidRPr="007361AB" w:rsidRDefault="00842220"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Document for:</w:t>
      </w:r>
      <w:r w:rsidRPr="007361AB">
        <w:rPr>
          <w:rFonts w:ascii="Arial" w:eastAsia="MS Mincho" w:hAnsi="Arial"/>
          <w:b/>
          <w:lang w:val="en-GB" w:eastAsia="x-none"/>
        </w:rPr>
        <w:tab/>
      </w:r>
      <w:r w:rsidRPr="0017003A">
        <w:rPr>
          <w:rFonts w:ascii="Arial" w:eastAsia="MS Mincho" w:hAnsi="Arial"/>
          <w:lang w:val="en-GB" w:eastAsia="x-none"/>
        </w:rPr>
        <w:t xml:space="preserve">Discussion </w:t>
      </w:r>
      <w:r w:rsidR="002237DE" w:rsidRPr="0017003A">
        <w:rPr>
          <w:rFonts w:ascii="Arial" w:eastAsia="MS Mincho" w:hAnsi="Arial"/>
          <w:lang w:val="en-GB" w:eastAsia="x-none"/>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Heading1"/>
        <w:rPr>
          <w:color w:val="000000" w:themeColor="text1"/>
          <w:lang w:eastAsia="zh-CN"/>
        </w:rPr>
      </w:pPr>
      <w:r w:rsidRPr="005B50B6">
        <w:rPr>
          <w:color w:val="000000" w:themeColor="text1"/>
          <w:lang w:eastAsia="zh-CN"/>
        </w:rPr>
        <w:t>Introduction</w:t>
      </w:r>
    </w:p>
    <w:p w14:paraId="05B03600" w14:textId="11E18A3B" w:rsidR="00580B40" w:rsidRDefault="00F95BF6" w:rsidP="007B0A23">
      <w:pPr>
        <w:autoSpaceDE/>
        <w:autoSpaceDN/>
        <w:adjustRightInd/>
        <w:snapToGrid/>
        <w:spacing w:after="0"/>
        <w:rPr>
          <w:rFonts w:cs="Times"/>
          <w:lang w:eastAsia="zh-CN"/>
        </w:rPr>
      </w:pPr>
      <w:r>
        <w:rPr>
          <w:rFonts w:cs="Times"/>
          <w:lang w:eastAsia="zh-CN"/>
        </w:rPr>
        <w:t>At RAN plenary #82, the following WID for NR Unlicensed was agreed</w:t>
      </w:r>
      <w:r w:rsidR="007B0A23">
        <w:rPr>
          <w:rFonts w:cs="Times"/>
          <w:lang w:eastAsia="zh-CN"/>
        </w:rPr>
        <w:t xml:space="preserve">. </w:t>
      </w:r>
    </w:p>
    <w:p w14:paraId="1480C1BE" w14:textId="2A95545E" w:rsidR="00381E3C" w:rsidRDefault="00381E3C" w:rsidP="007B0A23">
      <w:pPr>
        <w:autoSpaceDE/>
        <w:autoSpaceDN/>
        <w:adjustRightInd/>
        <w:snapToGrid/>
        <w:spacing w:after="0"/>
        <w:rPr>
          <w:rFonts w:cs="Times"/>
          <w:lang w:eastAsia="zh-CN"/>
        </w:rPr>
      </w:pPr>
    </w:p>
    <w:p w14:paraId="3DD2526C" w14:textId="4E407E48" w:rsidR="00381E3C" w:rsidRDefault="00381E3C" w:rsidP="007B0A23">
      <w:pPr>
        <w:autoSpaceDE/>
        <w:autoSpaceDN/>
        <w:adjustRightInd/>
        <w:snapToGrid/>
        <w:spacing w:after="0"/>
        <w:rPr>
          <w:rFonts w:cs="Times"/>
          <w:lang w:eastAsia="zh-CN"/>
        </w:rPr>
      </w:pPr>
      <w:r>
        <w:rPr>
          <w:rFonts w:cs="Times"/>
          <w:lang w:eastAsia="zh-CN"/>
        </w:rPr>
        <w:t xml:space="preserve">At </w:t>
      </w:r>
      <w:r w:rsidR="00114CB2">
        <w:rPr>
          <w:rFonts w:cs="Times"/>
          <w:lang w:eastAsia="zh-CN"/>
        </w:rPr>
        <w:t xml:space="preserve">the </w:t>
      </w:r>
      <w:r>
        <w:rPr>
          <w:rFonts w:cs="Times"/>
          <w:lang w:eastAsia="zh-CN"/>
        </w:rPr>
        <w:t xml:space="preserve">RAN2#104 </w:t>
      </w:r>
      <w:r w:rsidR="00114CB2">
        <w:rPr>
          <w:rFonts w:cs="Times"/>
          <w:lang w:eastAsia="zh-CN"/>
        </w:rPr>
        <w:t xml:space="preserve">meeting </w:t>
      </w:r>
      <w:r>
        <w:rPr>
          <w:rFonts w:cs="Times"/>
          <w:lang w:eastAsia="zh-CN"/>
        </w:rPr>
        <w:t>in Spokane</w:t>
      </w:r>
      <w:r w:rsidR="00114CB2">
        <w:rPr>
          <w:rFonts w:cs="Times"/>
          <w:lang w:eastAsia="zh-CN"/>
        </w:rPr>
        <w:t xml:space="preserve"> [5]</w:t>
      </w:r>
      <w:r>
        <w:rPr>
          <w:rFonts w:cs="Times"/>
          <w:lang w:eastAsia="zh-CN"/>
        </w:rPr>
        <w:t>, the following agreements amongst others were agreed related to RACH.</w:t>
      </w:r>
    </w:p>
    <w:p w14:paraId="47FFF247" w14:textId="77777777" w:rsidR="00381E3C" w:rsidRDefault="00381E3C" w:rsidP="007B0A23">
      <w:pPr>
        <w:autoSpaceDE/>
        <w:autoSpaceDN/>
        <w:adjustRightInd/>
        <w:snapToGrid/>
        <w:spacing w:after="0"/>
        <w:rPr>
          <w:rFonts w:cs="Times"/>
          <w:lang w:eastAsia="zh-CN"/>
        </w:rPr>
      </w:pPr>
    </w:p>
    <w:p w14:paraId="5B9DECC3" w14:textId="77777777" w:rsidR="00381E3C" w:rsidRPr="00CC34B5" w:rsidRDefault="00381E3C" w:rsidP="00CC34B5">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rPr>
          <w:b w:val="0"/>
        </w:rPr>
      </w:pPr>
      <w:r w:rsidRPr="00CC34B5">
        <w:rPr>
          <w:b w:val="0"/>
        </w:rPr>
        <w:t>For NR-U, the MAC entity does not support multiple RACH procedure in parallel as the current NR</w:t>
      </w:r>
    </w:p>
    <w:p w14:paraId="5490D439" w14:textId="77777777" w:rsidR="00381E3C" w:rsidRPr="00CC34B5" w:rsidRDefault="00381E3C" w:rsidP="00CC34B5">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rPr>
          <w:rFonts w:ascii="Calibri" w:hAnsi="Calibri"/>
          <w:b w:val="0"/>
          <w:sz w:val="22"/>
        </w:rPr>
      </w:pPr>
      <w:r w:rsidRPr="00CC34B5">
        <w:rPr>
          <w:b w:val="0"/>
        </w:rPr>
        <w:t>For NR-U, RACH can be enhanced by additional opportunities.</w:t>
      </w:r>
      <w:r w:rsidRPr="00CC34B5">
        <w:rPr>
          <w:rFonts w:ascii="Calibri" w:hAnsi="Calibri"/>
          <w:b w:val="0"/>
          <w:sz w:val="22"/>
        </w:rPr>
        <w:t xml:space="preserve"> </w:t>
      </w:r>
      <w:r w:rsidRPr="00CC34B5">
        <w:rPr>
          <w:b w:val="0"/>
        </w:rPr>
        <w:t>The additional opportunities should apply to msg1 and msg3.</w:t>
      </w:r>
    </w:p>
    <w:p w14:paraId="02E3A79F" w14:textId="72A22A4B" w:rsidR="007B0A23" w:rsidRDefault="007B0A23" w:rsidP="007B0A23">
      <w:pPr>
        <w:autoSpaceDE/>
        <w:autoSpaceDN/>
        <w:adjustRightInd/>
        <w:snapToGrid/>
        <w:spacing w:after="0"/>
        <w:rPr>
          <w:bCs/>
        </w:rPr>
      </w:pPr>
    </w:p>
    <w:p w14:paraId="3548B675" w14:textId="3AA48EBA" w:rsidR="00792AFB" w:rsidRPr="00973318" w:rsidRDefault="007B0A23" w:rsidP="00CC34B5">
      <w:pPr>
        <w:autoSpaceDE/>
        <w:autoSpaceDN/>
        <w:adjustRightInd/>
        <w:snapToGrid/>
        <w:spacing w:after="0"/>
      </w:pPr>
      <w:r>
        <w:rPr>
          <w:bCs/>
        </w:rPr>
        <w:t xml:space="preserve">At the RAN2#105 meeting </w:t>
      </w:r>
      <w:r w:rsidR="00114CB2">
        <w:rPr>
          <w:bCs/>
        </w:rPr>
        <w:t xml:space="preserve">in Athens </w:t>
      </w:r>
      <w:r>
        <w:rPr>
          <w:bCs/>
        </w:rPr>
        <w:t>[</w:t>
      </w:r>
      <w:r w:rsidR="00792AFB">
        <w:rPr>
          <w:bCs/>
        </w:rPr>
        <w:t>6</w:t>
      </w:r>
      <w:r>
        <w:rPr>
          <w:bCs/>
        </w:rPr>
        <w:t xml:space="preserve">], </w:t>
      </w:r>
      <w:r w:rsidR="00792AFB">
        <w:rPr>
          <w:bCs/>
        </w:rPr>
        <w:t>one of the email discussions initiated was the</w:t>
      </w:r>
      <w:r>
        <w:rPr>
          <w:bCs/>
        </w:rPr>
        <w:t xml:space="preserve"> following</w:t>
      </w:r>
      <w:r w:rsidR="00792AFB">
        <w:rPr>
          <w:bCs/>
        </w:rPr>
        <w:t xml:space="preserve">, </w:t>
      </w:r>
      <w:r w:rsidR="00792AFB" w:rsidRPr="00CC34B5">
        <w:t>[105#</w:t>
      </w:r>
      <w:proofErr w:type="gramStart"/>
      <w:r w:rsidR="00792AFB" w:rsidRPr="00CC34B5">
        <w:t>50][</w:t>
      </w:r>
      <w:proofErr w:type="gramEnd"/>
      <w:r w:rsidR="00792AFB" w:rsidRPr="00CC34B5">
        <w:t>NR-U] RACH 4-step and SR (</w:t>
      </w:r>
      <w:proofErr w:type="spellStart"/>
      <w:r w:rsidR="00792AFB" w:rsidRPr="00CC34B5">
        <w:t>Oppo</w:t>
      </w:r>
      <w:proofErr w:type="spellEnd"/>
      <w:r w:rsidR="00792AFB" w:rsidRPr="00CC34B5">
        <w:t>)</w:t>
      </w:r>
      <w:r w:rsidR="00792AFB">
        <w:t>.</w:t>
      </w:r>
    </w:p>
    <w:p w14:paraId="712BD03F" w14:textId="38E0E990" w:rsidR="00792AFB" w:rsidRPr="00CC34B5" w:rsidRDefault="00792AFB" w:rsidP="007B0A23">
      <w:pPr>
        <w:autoSpaceDE/>
        <w:autoSpaceDN/>
        <w:adjustRightInd/>
        <w:snapToGrid/>
        <w:spacing w:after="0"/>
        <w:rPr>
          <w:bCs/>
          <w:lang w:val="en-GB"/>
        </w:rPr>
      </w:pPr>
    </w:p>
    <w:p w14:paraId="3D052645" w14:textId="77777777" w:rsidR="00CC34B5" w:rsidRPr="00CC34B5" w:rsidRDefault="00CC34B5" w:rsidP="00CC34B5">
      <w:pPr>
        <w:autoSpaceDE/>
        <w:autoSpaceDN/>
        <w:adjustRightInd/>
        <w:snapToGrid/>
        <w:spacing w:after="0"/>
        <w:rPr>
          <w:bCs/>
        </w:rPr>
      </w:pPr>
      <w:r w:rsidRPr="00CC34B5">
        <w:rPr>
          <w:bCs/>
        </w:rPr>
        <w:t>One of the conclusions that can be drawn from that discussion is related to Q3. TBD</w:t>
      </w:r>
    </w:p>
    <w:p w14:paraId="0999FD09" w14:textId="77777777" w:rsidR="00CC34B5" w:rsidRPr="00CC34B5" w:rsidRDefault="00CC34B5" w:rsidP="00CC34B5">
      <w:pPr>
        <w:autoSpaceDE/>
        <w:autoSpaceDN/>
        <w:adjustRightInd/>
        <w:snapToGrid/>
        <w:spacing w:after="0"/>
        <w:rPr>
          <w:bCs/>
        </w:rPr>
      </w:pPr>
    </w:p>
    <w:p w14:paraId="738CFF2F" w14:textId="77777777" w:rsidR="00CC34B5" w:rsidRPr="00CC34B5" w:rsidRDefault="00CC34B5" w:rsidP="00CC34B5">
      <w:pPr>
        <w:autoSpaceDE/>
        <w:autoSpaceDN/>
        <w:adjustRightInd/>
        <w:snapToGrid/>
        <w:spacing w:after="0"/>
        <w:rPr>
          <w:bCs/>
        </w:rPr>
      </w:pPr>
      <w:r w:rsidRPr="00CC34B5">
        <w:rPr>
          <w:b/>
          <w:i/>
        </w:rPr>
        <w:t xml:space="preserve">Q3: </w:t>
      </w:r>
      <w:r w:rsidRPr="00CC34B5">
        <w:rPr>
          <w:rFonts w:hint="eastAsia"/>
          <w:b/>
          <w:i/>
        </w:rPr>
        <w:t>W</w:t>
      </w:r>
      <w:r w:rsidRPr="00CC34B5">
        <w:rPr>
          <w:b/>
          <w:i/>
        </w:rPr>
        <w:t>hich option(s) do you prefer</w:t>
      </w:r>
      <w:r w:rsidRPr="00CC34B5">
        <w:rPr>
          <w:rFonts w:hint="eastAsia"/>
          <w:b/>
          <w:i/>
        </w:rPr>
        <w:t xml:space="preserve"> on achieving additional opportunities for msg1</w:t>
      </w:r>
    </w:p>
    <w:p w14:paraId="0326A1C4" w14:textId="77777777" w:rsidR="00CC34B5" w:rsidRPr="00CC34B5" w:rsidRDefault="00CC34B5" w:rsidP="00CC34B5">
      <w:pPr>
        <w:autoSpaceDE/>
        <w:autoSpaceDN/>
        <w:adjustRightInd/>
        <w:snapToGrid/>
        <w:spacing w:after="0"/>
        <w:rPr>
          <w:bCs/>
        </w:rPr>
      </w:pPr>
    </w:p>
    <w:p w14:paraId="7C18A10F" w14:textId="77777777" w:rsidR="00CC34B5" w:rsidRDefault="00CC34B5" w:rsidP="00CC34B5">
      <w:pPr>
        <w:autoSpaceDE/>
        <w:autoSpaceDN/>
        <w:adjustRightInd/>
        <w:snapToGrid/>
        <w:spacing w:after="0"/>
        <w:rPr>
          <w:bCs/>
        </w:rPr>
      </w:pPr>
      <w:r w:rsidRPr="00CC34B5">
        <w:rPr>
          <w:bCs/>
        </w:rPr>
        <w:t>The conclusion on this question was that most companies preferred to wait RAN1 progress, (option 4), this includes Sony, but we would anyway further stress that we see benefits with supporting multiple attempts. (Option 2).</w:t>
      </w:r>
    </w:p>
    <w:p w14:paraId="42A7A9CF" w14:textId="77777777" w:rsidR="007B0A23" w:rsidRPr="00A7059D" w:rsidRDefault="007B0A23" w:rsidP="007B0A23">
      <w:pPr>
        <w:autoSpaceDE/>
        <w:autoSpaceDN/>
        <w:adjustRightInd/>
        <w:snapToGrid/>
        <w:spacing w:after="0"/>
        <w:rPr>
          <w:bCs/>
        </w:rPr>
      </w:pPr>
      <w:bookmarkStart w:id="0" w:name="_GoBack"/>
      <w:bookmarkEnd w:id="0"/>
    </w:p>
    <w:p w14:paraId="7D9FF987" w14:textId="008164EA"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E637D">
        <w:rPr>
          <w:rFonts w:hint="eastAsia"/>
          <w:color w:val="000000" w:themeColor="text1"/>
          <w:lang w:eastAsia="zh-CN"/>
        </w:rPr>
        <w:t xml:space="preserve"> </w:t>
      </w:r>
      <w:r w:rsidR="00DF71FF">
        <w:rPr>
          <w:rFonts w:eastAsia="MS Mincho"/>
          <w:color w:val="000000" w:themeColor="text1"/>
          <w:lang w:eastAsia="ja-JP"/>
        </w:rPr>
        <w:t>aspects related</w:t>
      </w:r>
      <w:r w:rsidR="009E38B8">
        <w:rPr>
          <w:rFonts w:eastAsia="MS Mincho"/>
          <w:color w:val="000000" w:themeColor="text1"/>
          <w:lang w:eastAsia="ja-JP"/>
        </w:rPr>
        <w:t xml:space="preserve"> to support for multiple BWP </w:t>
      </w:r>
      <w:r w:rsidR="00DF71FF">
        <w:rPr>
          <w:rFonts w:eastAsia="MS Mincho"/>
          <w:color w:val="000000" w:themeColor="text1"/>
          <w:lang w:eastAsia="ja-JP"/>
        </w:rPr>
        <w:t>for the situation of LBT failure in one or more subcarriers</w:t>
      </w:r>
      <w:r w:rsidR="009E38B8">
        <w:rPr>
          <w:rFonts w:eastAsia="MS Mincho"/>
          <w:color w:val="000000" w:themeColor="text1"/>
          <w:lang w:eastAsia="ja-JP"/>
        </w:rPr>
        <w:t xml:space="preserve"> at initial access</w:t>
      </w:r>
      <w:r w:rsidR="00DF71FF">
        <w:rPr>
          <w:rFonts w:eastAsia="MS Mincho"/>
          <w:color w:val="000000" w:themeColor="text1"/>
          <w:lang w:eastAsia="ja-JP"/>
        </w:rPr>
        <w:t>.</w:t>
      </w:r>
    </w:p>
    <w:p w14:paraId="61D3EC86" w14:textId="77777777" w:rsidR="00F12021" w:rsidRDefault="00F12021" w:rsidP="00E34357">
      <w:pPr>
        <w:autoSpaceDE/>
        <w:autoSpaceDN/>
        <w:adjustRightInd/>
        <w:snapToGrid/>
        <w:spacing w:after="0"/>
        <w:rPr>
          <w:rFonts w:cs="Times"/>
          <w:lang w:eastAsia="zh-CN"/>
        </w:rPr>
      </w:pPr>
    </w:p>
    <w:p w14:paraId="30F46E84" w14:textId="0AF13B2C" w:rsidR="00036935" w:rsidRDefault="00D66F82" w:rsidP="00036935">
      <w:pPr>
        <w:pStyle w:val="Heading1"/>
        <w:rPr>
          <w:lang w:eastAsia="zh-CN"/>
        </w:rPr>
      </w:pPr>
      <w:r>
        <w:rPr>
          <w:lang w:eastAsia="zh-CN"/>
        </w:rPr>
        <w:t>Discussion</w:t>
      </w:r>
    </w:p>
    <w:p w14:paraId="1D6A16D5" w14:textId="534DDDEB" w:rsidR="00580B40" w:rsidRDefault="009E38B8" w:rsidP="00FE590D">
      <w:pPr>
        <w:autoSpaceDE/>
        <w:autoSpaceDN/>
        <w:adjustRightInd/>
        <w:snapToGrid/>
        <w:spacing w:after="0"/>
        <w:rPr>
          <w:rFonts w:eastAsia="SimSun"/>
          <w:lang w:eastAsia="zh-CN"/>
        </w:rPr>
      </w:pPr>
      <w:r>
        <w:rPr>
          <w:rFonts w:eastAsia="SimSun"/>
          <w:lang w:eastAsia="zh-CN"/>
        </w:rPr>
        <w:t>In NR, currently only one active BWP is supported. Though for NR-U, due to LBT, multiple active BWPs may have to be considered. In this document, we discuss our view related to initial access.</w:t>
      </w:r>
    </w:p>
    <w:p w14:paraId="6D475D6E" w14:textId="77777777" w:rsidR="009E38B8" w:rsidRDefault="009E38B8" w:rsidP="00FE590D">
      <w:pPr>
        <w:autoSpaceDE/>
        <w:autoSpaceDN/>
        <w:adjustRightInd/>
        <w:snapToGrid/>
        <w:spacing w:after="0"/>
        <w:rPr>
          <w:rFonts w:cs="Times"/>
          <w:lang w:eastAsia="zh-CN"/>
        </w:rPr>
      </w:pPr>
    </w:p>
    <w:p w14:paraId="0A32201C" w14:textId="5D855CFF" w:rsidR="00C07010" w:rsidRPr="001C7C6B" w:rsidRDefault="00C07010" w:rsidP="000254CA">
      <w:pPr>
        <w:pStyle w:val="ListParagraph"/>
        <w:spacing w:after="120"/>
        <w:ind w:left="0"/>
        <w:rPr>
          <w:rFonts w:ascii="Times New Roman" w:eastAsia="MS Mincho" w:hAnsi="Times New Roman" w:cs="Times New Roman"/>
          <w:b/>
          <w:color w:val="000000" w:themeColor="text1"/>
          <w:sz w:val="22"/>
          <w:szCs w:val="22"/>
          <w:u w:val="single"/>
          <w:lang w:eastAsia="ja-JP"/>
        </w:rPr>
      </w:pPr>
      <w:r w:rsidRPr="001C7C6B">
        <w:rPr>
          <w:rFonts w:ascii="Times New Roman" w:eastAsia="MS Mincho" w:hAnsi="Times New Roman" w:cs="Times New Roman"/>
          <w:b/>
          <w:color w:val="000000" w:themeColor="text1"/>
          <w:sz w:val="22"/>
          <w:szCs w:val="22"/>
          <w:u w:val="single"/>
          <w:lang w:eastAsia="ja-JP"/>
        </w:rPr>
        <w:t>Delay sensitive access</w:t>
      </w:r>
      <w:r>
        <w:rPr>
          <w:rFonts w:ascii="Times New Roman" w:eastAsia="MS Mincho" w:hAnsi="Times New Roman" w:cs="Times New Roman"/>
          <w:b/>
          <w:color w:val="000000" w:themeColor="text1"/>
          <w:sz w:val="22"/>
          <w:szCs w:val="22"/>
          <w:u w:val="single"/>
          <w:lang w:eastAsia="ja-JP"/>
        </w:rPr>
        <w:t>:</w:t>
      </w:r>
    </w:p>
    <w:p w14:paraId="49AF9DAA" w14:textId="7B1B22C2" w:rsidR="00792AFB" w:rsidRDefault="00C07010" w:rsidP="000254CA">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 xml:space="preserve">Due to the nature of unlicensed access, with the concept of LBT, further studies may be needed to handle delay sensitive access attempts, which may suffer unacceptable </w:t>
      </w:r>
      <w:r w:rsidR="00F22B37">
        <w:rPr>
          <w:rFonts w:ascii="Times New Roman" w:eastAsia="MS Mincho" w:hAnsi="Times New Roman" w:cs="Times New Roman"/>
          <w:color w:val="000000" w:themeColor="text1"/>
          <w:sz w:val="22"/>
          <w:szCs w:val="22"/>
          <w:lang w:eastAsia="ja-JP"/>
        </w:rPr>
        <w:t xml:space="preserve">time periods </w:t>
      </w:r>
      <w:r w:rsidRPr="001C7C6B">
        <w:rPr>
          <w:rFonts w:ascii="Times New Roman" w:eastAsia="MS Mincho" w:hAnsi="Times New Roman" w:cs="Times New Roman"/>
          <w:color w:val="000000" w:themeColor="text1"/>
          <w:sz w:val="22"/>
          <w:szCs w:val="22"/>
          <w:lang w:eastAsia="ja-JP"/>
        </w:rPr>
        <w:t>due to LBT.</w:t>
      </w:r>
      <w:r w:rsidR="0017003A">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One way forward </w:t>
      </w:r>
      <w:r w:rsidR="00BA0A7A">
        <w:rPr>
          <w:rFonts w:ascii="Times New Roman" w:eastAsia="MS Mincho" w:hAnsi="Times New Roman" w:cs="Times New Roman"/>
          <w:color w:val="000000" w:themeColor="text1"/>
          <w:sz w:val="22"/>
          <w:szCs w:val="22"/>
          <w:lang w:eastAsia="ja-JP"/>
        </w:rPr>
        <w:t>could</w:t>
      </w:r>
      <w:r>
        <w:rPr>
          <w:rFonts w:ascii="Times New Roman" w:eastAsia="MS Mincho" w:hAnsi="Times New Roman" w:cs="Times New Roman"/>
          <w:color w:val="000000" w:themeColor="text1"/>
          <w:sz w:val="22"/>
          <w:szCs w:val="22"/>
          <w:lang w:eastAsia="ja-JP"/>
        </w:rPr>
        <w:t xml:space="preserve"> be to support multiple RACH procedures, where the UE can initiate parallel </w:t>
      </w:r>
      <w:proofErr w:type="gramStart"/>
      <w:r w:rsidR="00BA0A7A">
        <w:rPr>
          <w:rFonts w:ascii="Times New Roman" w:eastAsia="MS Mincho" w:hAnsi="Times New Roman" w:cs="Times New Roman"/>
          <w:color w:val="000000" w:themeColor="text1"/>
          <w:sz w:val="22"/>
          <w:szCs w:val="22"/>
          <w:lang w:eastAsia="ja-JP"/>
        </w:rPr>
        <w:t>r</w:t>
      </w:r>
      <w:r>
        <w:rPr>
          <w:rFonts w:ascii="Times New Roman" w:eastAsia="MS Mincho" w:hAnsi="Times New Roman" w:cs="Times New Roman"/>
          <w:color w:val="000000" w:themeColor="text1"/>
          <w:sz w:val="22"/>
          <w:szCs w:val="22"/>
          <w:lang w:eastAsia="ja-JP"/>
        </w:rPr>
        <w:t>andom access</w:t>
      </w:r>
      <w:proofErr w:type="gramEnd"/>
      <w:r>
        <w:rPr>
          <w:rFonts w:ascii="Times New Roman" w:eastAsia="MS Mincho" w:hAnsi="Times New Roman" w:cs="Times New Roman"/>
          <w:color w:val="000000" w:themeColor="text1"/>
          <w:sz w:val="22"/>
          <w:szCs w:val="22"/>
          <w:lang w:eastAsia="ja-JP"/>
        </w:rPr>
        <w:t xml:space="preserve"> attempts</w:t>
      </w:r>
      <w:r w:rsidR="00DD7486">
        <w:rPr>
          <w:rFonts w:ascii="Times New Roman" w:eastAsia="MS Mincho" w:hAnsi="Times New Roman" w:cs="Times New Roman"/>
          <w:color w:val="000000" w:themeColor="text1"/>
          <w:sz w:val="22"/>
          <w:szCs w:val="22"/>
          <w:lang w:eastAsia="ja-JP"/>
        </w:rPr>
        <w:t xml:space="preserve"> in order to mitigate channel access delays</w:t>
      </w:r>
      <w:r w:rsidR="00BA0A7A">
        <w:rPr>
          <w:rFonts w:ascii="Times New Roman" w:eastAsia="MS Mincho" w:hAnsi="Times New Roman" w:cs="Times New Roman"/>
          <w:color w:val="000000" w:themeColor="text1"/>
          <w:sz w:val="22"/>
          <w:szCs w:val="22"/>
          <w:lang w:eastAsia="ja-JP"/>
        </w:rPr>
        <w:t xml:space="preserve"> and improve system robustness</w:t>
      </w:r>
      <w:r w:rsidR="00DD7486">
        <w:rPr>
          <w:rFonts w:ascii="Times New Roman" w:eastAsia="MS Mincho" w:hAnsi="Times New Roman" w:cs="Times New Roman"/>
          <w:color w:val="000000" w:themeColor="text1"/>
          <w:sz w:val="22"/>
          <w:szCs w:val="22"/>
          <w:lang w:eastAsia="ja-JP"/>
        </w:rPr>
        <w:t>.</w:t>
      </w:r>
      <w:r w:rsidR="0017003A">
        <w:rPr>
          <w:rFonts w:ascii="Times New Roman" w:eastAsia="MS Mincho" w:hAnsi="Times New Roman" w:cs="Times New Roman"/>
          <w:color w:val="000000" w:themeColor="text1"/>
          <w:sz w:val="22"/>
          <w:szCs w:val="22"/>
          <w:lang w:eastAsia="ja-JP"/>
        </w:rPr>
        <w:t xml:space="preserve"> </w:t>
      </w:r>
    </w:p>
    <w:p w14:paraId="4ABD6751" w14:textId="57E7B9E1" w:rsidR="00792AFB" w:rsidRDefault="00792AFB" w:rsidP="000254CA">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Though, at [5], it was agreed to not support multiple RACH procedures.</w:t>
      </w:r>
    </w:p>
    <w:p w14:paraId="6DA07FA8" w14:textId="77777777" w:rsidR="0017003A" w:rsidRDefault="0017003A" w:rsidP="009B2444">
      <w:pPr>
        <w:pStyle w:val="ListParagraph"/>
        <w:spacing w:after="120"/>
        <w:ind w:left="0"/>
        <w:rPr>
          <w:rFonts w:ascii="Times New Roman" w:eastAsia="MS Mincho" w:hAnsi="Times New Roman" w:cs="Times New Roman"/>
          <w:color w:val="000000" w:themeColor="text1"/>
          <w:sz w:val="22"/>
          <w:szCs w:val="22"/>
          <w:lang w:eastAsia="ja-JP"/>
        </w:rPr>
      </w:pPr>
    </w:p>
    <w:p w14:paraId="33D37BD7" w14:textId="42DF1AAF" w:rsidR="009B2444" w:rsidRPr="001C7C6B" w:rsidRDefault="009B2444" w:rsidP="009B2444">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Since in case of unlicensed access, some parts of the frequency spectrum may suffer from higher LBT blockage, which implies that </w:t>
      </w:r>
      <w:r w:rsidR="00BA0A7A">
        <w:rPr>
          <w:rFonts w:ascii="Times New Roman" w:eastAsia="MS Mincho" w:hAnsi="Times New Roman" w:cs="Times New Roman"/>
          <w:color w:val="000000" w:themeColor="text1"/>
          <w:sz w:val="22"/>
          <w:szCs w:val="22"/>
          <w:lang w:eastAsia="ja-JP"/>
        </w:rPr>
        <w:t>transmissions may not be possible when intended. A</w:t>
      </w:r>
      <w:r>
        <w:rPr>
          <w:rFonts w:ascii="Times New Roman" w:eastAsia="MS Mincho" w:hAnsi="Times New Roman" w:cs="Times New Roman"/>
          <w:color w:val="000000" w:themeColor="text1"/>
          <w:sz w:val="22"/>
          <w:szCs w:val="22"/>
          <w:lang w:eastAsia="ja-JP"/>
        </w:rPr>
        <w:t xml:space="preserve">dditional RACH attempts </w:t>
      </w:r>
      <w:r>
        <w:rPr>
          <w:rFonts w:ascii="Times New Roman" w:eastAsia="MS Mincho" w:hAnsi="Times New Roman" w:cs="Times New Roman"/>
          <w:color w:val="000000" w:themeColor="text1"/>
          <w:sz w:val="22"/>
          <w:szCs w:val="22"/>
          <w:lang w:eastAsia="ja-JP"/>
        </w:rPr>
        <w:lastRenderedPageBreak/>
        <w:t xml:space="preserve">may not always have to be done in the same BWP, </w:t>
      </w:r>
      <w:r w:rsidR="00A44E47">
        <w:rPr>
          <w:rFonts w:ascii="Times New Roman" w:eastAsia="MS Mincho" w:hAnsi="Times New Roman" w:cs="Times New Roman"/>
          <w:color w:val="000000" w:themeColor="text1"/>
          <w:sz w:val="22"/>
          <w:szCs w:val="22"/>
          <w:lang w:eastAsia="ja-JP"/>
        </w:rPr>
        <w:t>alternatively</w:t>
      </w:r>
      <w:r>
        <w:rPr>
          <w:rFonts w:ascii="Times New Roman" w:eastAsia="MS Mincho" w:hAnsi="Times New Roman" w:cs="Times New Roman"/>
          <w:color w:val="000000" w:themeColor="text1"/>
          <w:sz w:val="22"/>
          <w:szCs w:val="22"/>
          <w:lang w:eastAsia="ja-JP"/>
        </w:rPr>
        <w:t xml:space="preserve"> it </w:t>
      </w:r>
      <w:r w:rsidR="00792AFB">
        <w:rPr>
          <w:rFonts w:ascii="Times New Roman" w:eastAsia="MS Mincho" w:hAnsi="Times New Roman" w:cs="Times New Roman"/>
          <w:color w:val="000000" w:themeColor="text1"/>
          <w:sz w:val="22"/>
          <w:szCs w:val="22"/>
          <w:lang w:eastAsia="ja-JP"/>
        </w:rPr>
        <w:t>may</w:t>
      </w:r>
      <w:r>
        <w:rPr>
          <w:rFonts w:ascii="Times New Roman" w:eastAsia="MS Mincho" w:hAnsi="Times New Roman" w:cs="Times New Roman"/>
          <w:color w:val="000000" w:themeColor="text1"/>
          <w:sz w:val="22"/>
          <w:szCs w:val="22"/>
          <w:lang w:eastAsia="ja-JP"/>
        </w:rPr>
        <w:t xml:space="preserve"> be preferable to try another BWP. Therefore</w:t>
      </w:r>
      <w:r w:rsidR="009E38B8">
        <w:rPr>
          <w:rFonts w:ascii="Times New Roman" w:eastAsia="MS Mincho" w:hAnsi="Times New Roman" w:cs="Times New Roman"/>
          <w:color w:val="000000" w:themeColor="text1"/>
          <w:sz w:val="22"/>
          <w:szCs w:val="22"/>
          <w:lang w:eastAsia="ja-JP"/>
        </w:rPr>
        <w:t>,</w:t>
      </w:r>
      <w:r>
        <w:rPr>
          <w:rFonts w:ascii="Times New Roman" w:eastAsia="MS Mincho" w:hAnsi="Times New Roman" w:cs="Times New Roman"/>
          <w:color w:val="000000" w:themeColor="text1"/>
          <w:sz w:val="22"/>
          <w:szCs w:val="22"/>
          <w:lang w:eastAsia="ja-JP"/>
        </w:rPr>
        <w:t xml:space="preserve"> multiple a RACH attempts </w:t>
      </w:r>
      <w:r w:rsidR="00F22B37">
        <w:rPr>
          <w:rFonts w:ascii="Times New Roman" w:eastAsia="MS Mincho" w:hAnsi="Times New Roman" w:cs="Times New Roman"/>
          <w:color w:val="000000" w:themeColor="text1"/>
          <w:sz w:val="22"/>
          <w:szCs w:val="22"/>
          <w:lang w:eastAsia="ja-JP"/>
        </w:rPr>
        <w:t>sh</w:t>
      </w:r>
      <w:r>
        <w:rPr>
          <w:rFonts w:ascii="Times New Roman" w:eastAsia="MS Mincho" w:hAnsi="Times New Roman" w:cs="Times New Roman"/>
          <w:color w:val="000000" w:themeColor="text1"/>
          <w:sz w:val="22"/>
          <w:szCs w:val="22"/>
          <w:lang w:eastAsia="ja-JP"/>
        </w:rPr>
        <w:t>oul</w:t>
      </w:r>
      <w:r w:rsidR="003D1C41">
        <w:rPr>
          <w:rFonts w:ascii="Times New Roman" w:eastAsia="MS Mincho" w:hAnsi="Times New Roman" w:cs="Times New Roman"/>
          <w:color w:val="000000" w:themeColor="text1"/>
          <w:sz w:val="22"/>
          <w:szCs w:val="22"/>
          <w:lang w:eastAsia="ja-JP"/>
        </w:rPr>
        <w:t xml:space="preserve">d be </w:t>
      </w:r>
      <w:r w:rsidR="009E38B8">
        <w:rPr>
          <w:rFonts w:ascii="Times New Roman" w:eastAsia="MS Mincho" w:hAnsi="Times New Roman" w:cs="Times New Roman"/>
          <w:color w:val="000000" w:themeColor="text1"/>
          <w:sz w:val="22"/>
          <w:szCs w:val="22"/>
          <w:lang w:eastAsia="ja-JP"/>
        </w:rPr>
        <w:t xml:space="preserve">considered </w:t>
      </w:r>
      <w:r w:rsidR="003D1C41">
        <w:rPr>
          <w:rFonts w:ascii="Times New Roman" w:eastAsia="MS Mincho" w:hAnsi="Times New Roman" w:cs="Times New Roman"/>
          <w:color w:val="000000" w:themeColor="text1"/>
          <w:sz w:val="22"/>
          <w:szCs w:val="22"/>
          <w:lang w:eastAsia="ja-JP"/>
        </w:rPr>
        <w:t>also in different BWP.</w:t>
      </w:r>
    </w:p>
    <w:p w14:paraId="4CF7AD25" w14:textId="64BCEB50" w:rsidR="00C07010" w:rsidRDefault="009B2444" w:rsidP="000254CA">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CC34B5">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b/>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 xml:space="preserve">The UE should be able to </w:t>
      </w:r>
      <w:r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w:t>
      </w:r>
      <w:r w:rsidR="00CC34B5">
        <w:rPr>
          <w:rFonts w:ascii="Times New Roman" w:eastAsia="MS Mincho" w:hAnsi="Times New Roman" w:cs="Times New Roman"/>
          <w:color w:val="000000" w:themeColor="text1"/>
          <w:sz w:val="22"/>
          <w:szCs w:val="22"/>
          <w:lang w:eastAsia="ja-JP"/>
        </w:rPr>
        <w:t>multiple</w:t>
      </w:r>
      <w:r w:rsidRPr="001C7C6B">
        <w:rPr>
          <w:rFonts w:ascii="Times New Roman" w:eastAsia="MS Mincho" w:hAnsi="Times New Roman" w:cs="Times New Roman"/>
          <w:color w:val="000000" w:themeColor="text1"/>
          <w:sz w:val="22"/>
          <w:szCs w:val="22"/>
          <w:lang w:eastAsia="ja-JP"/>
        </w:rPr>
        <w:t xml:space="preserve"> RACH procedures</w:t>
      </w:r>
      <w:r>
        <w:rPr>
          <w:rFonts w:ascii="Times New Roman" w:eastAsia="MS Mincho" w:hAnsi="Times New Roman" w:cs="Times New Roman"/>
          <w:color w:val="000000" w:themeColor="text1"/>
          <w:sz w:val="22"/>
          <w:szCs w:val="22"/>
          <w:lang w:eastAsia="ja-JP"/>
        </w:rPr>
        <w:t xml:space="preserve"> on different BWP.</w:t>
      </w:r>
    </w:p>
    <w:p w14:paraId="4467A5D3" w14:textId="328C58DB" w:rsidR="009B2444" w:rsidRDefault="009B2444" w:rsidP="0068252F">
      <w:pPr>
        <w:pStyle w:val="ListParagraph"/>
        <w:spacing w:after="120"/>
        <w:ind w:left="0"/>
        <w:rPr>
          <w:rFonts w:ascii="Times New Roman" w:eastAsia="MS Mincho" w:hAnsi="Times New Roman" w:cs="Times New Roman"/>
          <w:b/>
          <w:color w:val="000000" w:themeColor="text1"/>
          <w:sz w:val="22"/>
          <w:szCs w:val="22"/>
          <w:u w:val="single"/>
          <w:lang w:eastAsia="ja-JP"/>
        </w:rPr>
      </w:pPr>
    </w:p>
    <w:p w14:paraId="4D39A858" w14:textId="5A0F73F2" w:rsidR="00660655" w:rsidRPr="0017003A" w:rsidRDefault="00660655" w:rsidP="0068252F">
      <w:pPr>
        <w:pStyle w:val="ListParagraph"/>
        <w:spacing w:after="120"/>
        <w:ind w:left="0"/>
        <w:rPr>
          <w:rFonts w:ascii="Times New Roman" w:eastAsia="MS Mincho" w:hAnsi="Times New Roman" w:cs="Times New Roman"/>
          <w:color w:val="000000" w:themeColor="text1"/>
          <w:sz w:val="22"/>
          <w:szCs w:val="22"/>
          <w:lang w:eastAsia="ja-JP"/>
        </w:rPr>
      </w:pPr>
      <w:r w:rsidRPr="0017003A">
        <w:rPr>
          <w:rFonts w:ascii="Times New Roman" w:eastAsia="MS Mincho" w:hAnsi="Times New Roman" w:cs="Times New Roman"/>
          <w:color w:val="000000" w:themeColor="text1"/>
          <w:sz w:val="22"/>
          <w:szCs w:val="22"/>
          <w:lang w:eastAsia="ja-JP"/>
        </w:rPr>
        <w:t>For</w:t>
      </w:r>
      <w:r>
        <w:rPr>
          <w:rFonts w:ascii="Times New Roman" w:eastAsia="MS Mincho" w:hAnsi="Times New Roman" w:cs="Times New Roman"/>
          <w:color w:val="000000" w:themeColor="text1"/>
          <w:sz w:val="22"/>
          <w:szCs w:val="22"/>
          <w:lang w:eastAsia="ja-JP"/>
        </w:rPr>
        <w:t xml:space="preserve"> the case of</w:t>
      </w:r>
      <w:r w:rsidRPr="0017003A">
        <w:rPr>
          <w:rFonts w:ascii="Times New Roman" w:eastAsia="MS Mincho" w:hAnsi="Times New Roman" w:cs="Times New Roman"/>
          <w:color w:val="000000" w:themeColor="text1"/>
          <w:sz w:val="22"/>
          <w:szCs w:val="22"/>
          <w:lang w:eastAsia="ja-JP"/>
        </w:rPr>
        <w:t xml:space="preserve"> single RACH procedure</w:t>
      </w:r>
      <w:r>
        <w:rPr>
          <w:rFonts w:ascii="Times New Roman" w:eastAsia="MS Mincho" w:hAnsi="Times New Roman" w:cs="Times New Roman"/>
          <w:color w:val="000000" w:themeColor="text1"/>
          <w:sz w:val="22"/>
          <w:szCs w:val="22"/>
          <w:lang w:eastAsia="ja-JP"/>
        </w:rPr>
        <w:t>,</w:t>
      </w:r>
      <w:r w:rsidRPr="0017003A">
        <w:rPr>
          <w:rFonts w:ascii="Times New Roman" w:eastAsia="MS Mincho" w:hAnsi="Times New Roman" w:cs="Times New Roman"/>
          <w:color w:val="000000" w:themeColor="text1"/>
          <w:sz w:val="22"/>
          <w:szCs w:val="22"/>
          <w:lang w:eastAsia="ja-JP"/>
        </w:rPr>
        <w:t xml:space="preserve"> multiple BWPs candidates should be supported, where the UE </w:t>
      </w:r>
      <w:r>
        <w:rPr>
          <w:rFonts w:ascii="Times New Roman" w:eastAsia="MS Mincho" w:hAnsi="Times New Roman" w:cs="Times New Roman"/>
          <w:color w:val="000000" w:themeColor="text1"/>
          <w:sz w:val="22"/>
          <w:szCs w:val="22"/>
          <w:lang w:eastAsia="ja-JP"/>
        </w:rPr>
        <w:t>have multiple opportunities to perform</w:t>
      </w:r>
      <w:r w:rsidRPr="0017003A">
        <w:rPr>
          <w:rFonts w:ascii="Times New Roman" w:eastAsia="MS Mincho" w:hAnsi="Times New Roman" w:cs="Times New Roman"/>
          <w:color w:val="000000" w:themeColor="text1"/>
          <w:sz w:val="22"/>
          <w:szCs w:val="22"/>
          <w:lang w:eastAsia="ja-JP"/>
        </w:rPr>
        <w:t xml:space="preserve"> LBT in multiple BWPs</w:t>
      </w:r>
      <w:r>
        <w:rPr>
          <w:rFonts w:ascii="Times New Roman" w:eastAsia="MS Mincho" w:hAnsi="Times New Roman" w:cs="Times New Roman"/>
          <w:color w:val="000000" w:themeColor="text1"/>
          <w:sz w:val="22"/>
          <w:szCs w:val="22"/>
          <w:lang w:eastAsia="ja-JP"/>
        </w:rPr>
        <w:t xml:space="preserve">, based on e.g. channel condition </w:t>
      </w:r>
      <w:r>
        <w:rPr>
          <w:rFonts w:ascii="Times New Roman" w:eastAsia="MS Mincho" w:hAnsi="Times New Roman" w:cs="Times New Roman"/>
          <w:color w:val="000000" w:themeColor="text1"/>
          <w:sz w:val="22"/>
          <w:szCs w:val="22"/>
          <w:lang w:eastAsia="ja-JP"/>
        </w:rPr>
        <w:fldChar w:fldCharType="begin"/>
      </w:r>
      <w:r>
        <w:rPr>
          <w:rFonts w:ascii="Times New Roman" w:eastAsia="MS Mincho" w:hAnsi="Times New Roman" w:cs="Times New Roman"/>
          <w:color w:val="000000" w:themeColor="text1"/>
          <w:sz w:val="22"/>
          <w:szCs w:val="22"/>
          <w:lang w:eastAsia="ja-JP"/>
        </w:rPr>
        <w:instrText xml:space="preserve"> REF _Ref877463 \r \h </w:instrText>
      </w:r>
      <w:r>
        <w:rPr>
          <w:rFonts w:ascii="Times New Roman" w:eastAsia="MS Mincho" w:hAnsi="Times New Roman" w:cs="Times New Roman"/>
          <w:color w:val="000000" w:themeColor="text1"/>
          <w:sz w:val="22"/>
          <w:szCs w:val="22"/>
          <w:lang w:eastAsia="ja-JP"/>
        </w:rPr>
      </w:r>
      <w:r>
        <w:rPr>
          <w:rFonts w:ascii="Times New Roman" w:eastAsia="MS Mincho" w:hAnsi="Times New Roman" w:cs="Times New Roman"/>
          <w:color w:val="000000" w:themeColor="text1"/>
          <w:sz w:val="22"/>
          <w:szCs w:val="22"/>
          <w:lang w:eastAsia="ja-JP"/>
        </w:rPr>
        <w:fldChar w:fldCharType="separate"/>
      </w:r>
      <w:r>
        <w:rPr>
          <w:rFonts w:ascii="Times New Roman" w:eastAsia="MS Mincho" w:hAnsi="Times New Roman" w:cs="Times New Roman"/>
          <w:color w:val="000000" w:themeColor="text1"/>
          <w:sz w:val="22"/>
          <w:szCs w:val="22"/>
          <w:lang w:eastAsia="ja-JP"/>
        </w:rPr>
        <w:t>[3]</w:t>
      </w:r>
      <w:r>
        <w:rPr>
          <w:rFonts w:ascii="Times New Roman" w:eastAsia="MS Mincho" w:hAnsi="Times New Roman" w:cs="Times New Roman"/>
          <w:color w:val="000000" w:themeColor="text1"/>
          <w:sz w:val="22"/>
          <w:szCs w:val="22"/>
          <w:lang w:eastAsia="ja-JP"/>
        </w:rPr>
        <w:fldChar w:fldCharType="end"/>
      </w:r>
      <w:r>
        <w:rPr>
          <w:rFonts w:ascii="Times New Roman" w:eastAsia="MS Mincho" w:hAnsi="Times New Roman" w:cs="Times New Roman"/>
          <w:color w:val="000000" w:themeColor="text1"/>
          <w:sz w:val="22"/>
          <w:szCs w:val="22"/>
          <w:lang w:eastAsia="ja-JP"/>
        </w:rPr>
        <w:t>.</w:t>
      </w:r>
    </w:p>
    <w:p w14:paraId="42F6B72E" w14:textId="1E138ACA" w:rsidR="009E38B8" w:rsidRDefault="009E38B8" w:rsidP="009E38B8">
      <w:pPr>
        <w:pStyle w:val="ListParagraph"/>
        <w:spacing w:after="120"/>
        <w:ind w:left="0"/>
        <w:rPr>
          <w:rFonts w:ascii="Times New Roman" w:hAnsi="Times New Roman" w:cs="Times New Roman"/>
          <w:b/>
          <w:bCs/>
          <w:color w:val="000000"/>
          <w:sz w:val="22"/>
          <w:szCs w:val="22"/>
          <w:lang w:eastAsia="ja-JP"/>
        </w:rPr>
      </w:pPr>
      <w:r>
        <w:rPr>
          <w:rFonts w:ascii="Times New Roman" w:hAnsi="Times New Roman" w:cs="Times New Roman"/>
          <w:color w:val="000000"/>
          <w:sz w:val="22"/>
          <w:szCs w:val="22"/>
          <w:lang w:eastAsia="ja-JP"/>
        </w:rPr>
        <w:t xml:space="preserve">FDM of PRACH resource is supported in NR. If UL wideband operation with a sub-band bandwidth of 20 MHz is allowed, as discussed in </w:t>
      </w:r>
      <w:r w:rsidR="00965C66" w:rsidRPr="00394FCF">
        <w:rPr>
          <w:rFonts w:ascii="Times New Roman" w:hAnsi="Times New Roman" w:cs="Times New Roman"/>
          <w:color w:val="000000"/>
          <w:sz w:val="22"/>
          <w:szCs w:val="22"/>
          <w:lang w:eastAsia="ja-JP"/>
        </w:rPr>
        <w:fldChar w:fldCharType="begin"/>
      </w:r>
      <w:r w:rsidR="00965C66" w:rsidRPr="00394FCF">
        <w:rPr>
          <w:rFonts w:ascii="Times New Roman" w:hAnsi="Times New Roman" w:cs="Times New Roman"/>
          <w:color w:val="000000"/>
          <w:sz w:val="22"/>
          <w:szCs w:val="22"/>
          <w:lang w:eastAsia="ja-JP"/>
        </w:rPr>
        <w:instrText xml:space="preserve"> REF _Ref1032981 \r \h </w:instrText>
      </w:r>
      <w:r w:rsidR="00394FCF">
        <w:rPr>
          <w:rFonts w:ascii="Times New Roman" w:hAnsi="Times New Roman" w:cs="Times New Roman"/>
          <w:color w:val="000000"/>
          <w:sz w:val="22"/>
          <w:szCs w:val="22"/>
          <w:lang w:eastAsia="ja-JP"/>
        </w:rPr>
        <w:instrText xml:space="preserve"> \* MERGEFORMAT </w:instrText>
      </w:r>
      <w:r w:rsidR="00965C66" w:rsidRPr="00394FCF">
        <w:rPr>
          <w:rFonts w:ascii="Times New Roman" w:hAnsi="Times New Roman" w:cs="Times New Roman"/>
          <w:color w:val="000000"/>
          <w:sz w:val="22"/>
          <w:szCs w:val="22"/>
          <w:lang w:eastAsia="ja-JP"/>
        </w:rPr>
      </w:r>
      <w:r w:rsidR="00965C66" w:rsidRPr="00394FCF">
        <w:rPr>
          <w:rFonts w:ascii="Times New Roman" w:hAnsi="Times New Roman" w:cs="Times New Roman"/>
          <w:color w:val="000000"/>
          <w:sz w:val="22"/>
          <w:szCs w:val="22"/>
          <w:lang w:eastAsia="ja-JP"/>
        </w:rPr>
        <w:fldChar w:fldCharType="separate"/>
      </w:r>
      <w:r w:rsidR="00965C66" w:rsidRPr="00394FCF">
        <w:rPr>
          <w:rFonts w:ascii="Times New Roman" w:hAnsi="Times New Roman" w:cs="Times New Roman"/>
          <w:color w:val="000000"/>
          <w:sz w:val="22"/>
          <w:szCs w:val="22"/>
          <w:lang w:eastAsia="ja-JP"/>
        </w:rPr>
        <w:t>[4]</w:t>
      </w:r>
      <w:r w:rsidR="00965C66" w:rsidRPr="00394FCF">
        <w:rPr>
          <w:rFonts w:ascii="Times New Roman" w:hAnsi="Times New Roman" w:cs="Times New Roman"/>
          <w:color w:val="000000"/>
          <w:sz w:val="22"/>
          <w:szCs w:val="22"/>
          <w:lang w:eastAsia="ja-JP"/>
        </w:rPr>
        <w:fldChar w:fldCharType="end"/>
      </w:r>
      <w:r w:rsidRPr="00394FCF">
        <w:rPr>
          <w:rFonts w:ascii="Times New Roman" w:hAnsi="Times New Roman" w:cs="Times New Roman"/>
          <w:color w:val="000000"/>
          <w:sz w:val="22"/>
          <w:szCs w:val="22"/>
          <w:lang w:eastAsia="ja-JP"/>
        </w:rPr>
        <w:t>,</w:t>
      </w:r>
      <w:r>
        <w:rPr>
          <w:rFonts w:ascii="Times New Roman" w:hAnsi="Times New Roman" w:cs="Times New Roman"/>
          <w:color w:val="000000"/>
          <w:sz w:val="22"/>
          <w:szCs w:val="22"/>
          <w:lang w:eastAsia="ja-JP"/>
        </w:rPr>
        <w:t xml:space="preserve"> it is possible that multiple PRACH resources across multiple LBT sub-bands are configured so that the UE can transmit PRACH on the sub-band where LBT succeeds. By using multiple sub-bands for PRACH transmission, PRACH congestion could be reduced.</w:t>
      </w:r>
    </w:p>
    <w:p w14:paraId="0DDE2C11" w14:textId="3E9C493C" w:rsidR="009E38B8" w:rsidRDefault="009E38B8" w:rsidP="009E38B8">
      <w:pPr>
        <w:pStyle w:val="ListParagraph"/>
        <w:spacing w:after="120"/>
        <w:ind w:left="0"/>
        <w:rPr>
          <w:rFonts w:ascii="Times New Roman" w:hAnsi="Times New Roman" w:cs="Times New Roman"/>
          <w:b/>
          <w:bCs/>
          <w:color w:val="000000"/>
          <w:sz w:val="22"/>
          <w:szCs w:val="22"/>
          <w:lang w:eastAsia="ja-JP"/>
        </w:rPr>
      </w:pPr>
      <w:r>
        <w:rPr>
          <w:rFonts w:ascii="Times New Roman" w:hAnsi="Times New Roman" w:cs="Times New Roman"/>
          <w:b/>
          <w:bCs/>
          <w:color w:val="000000"/>
          <w:sz w:val="22"/>
          <w:szCs w:val="22"/>
          <w:lang w:eastAsia="ja-JP"/>
        </w:rPr>
        <w:t xml:space="preserve">Proposal </w:t>
      </w:r>
      <w:r w:rsidR="00CC34B5">
        <w:rPr>
          <w:rFonts w:ascii="Times New Roman" w:hAnsi="Times New Roman" w:cs="Times New Roman"/>
          <w:b/>
          <w:bCs/>
          <w:color w:val="000000"/>
          <w:sz w:val="22"/>
          <w:szCs w:val="22"/>
          <w:lang w:eastAsia="ja-JP"/>
        </w:rPr>
        <w:t>2</w:t>
      </w:r>
      <w:r>
        <w:rPr>
          <w:rFonts w:ascii="Times New Roman" w:hAnsi="Times New Roman" w:cs="Times New Roman"/>
          <w:b/>
          <w:bCs/>
          <w:color w:val="000000"/>
          <w:sz w:val="22"/>
          <w:szCs w:val="22"/>
          <w:lang w:eastAsia="ja-JP"/>
        </w:rPr>
        <w:t xml:space="preserve">: </w:t>
      </w:r>
      <w:r>
        <w:rPr>
          <w:rFonts w:ascii="Times New Roman" w:hAnsi="Times New Roman" w:cs="Times New Roman"/>
          <w:i/>
          <w:iCs/>
          <w:color w:val="000000"/>
          <w:sz w:val="22"/>
          <w:szCs w:val="22"/>
          <w:lang w:eastAsia="ja-JP"/>
        </w:rPr>
        <w:t>In frequency domain, if UL wideband operation with a sub-band bandwidth of 20 MHz is allowed, NR-U should support multiple PRACH resources on multiple sub-bands.</w:t>
      </w:r>
    </w:p>
    <w:p w14:paraId="71902C0C" w14:textId="77777777" w:rsidR="009E38B8" w:rsidRDefault="009E38B8" w:rsidP="0068252F">
      <w:pPr>
        <w:pStyle w:val="ListParagraph"/>
        <w:spacing w:after="120"/>
        <w:ind w:left="0"/>
        <w:rPr>
          <w:rFonts w:ascii="Times New Roman" w:eastAsia="MS Mincho" w:hAnsi="Times New Roman" w:cs="Times New Roman"/>
          <w:b/>
          <w:color w:val="000000" w:themeColor="text1"/>
          <w:sz w:val="22"/>
          <w:szCs w:val="22"/>
          <w:u w:val="single"/>
          <w:lang w:eastAsia="ja-JP"/>
        </w:rPr>
      </w:pPr>
    </w:p>
    <w:p w14:paraId="624A80A9" w14:textId="77777777" w:rsidR="0068252F" w:rsidRPr="001C7C6B" w:rsidRDefault="0068252F" w:rsidP="0068252F">
      <w:pPr>
        <w:pStyle w:val="ListParagraph"/>
        <w:spacing w:after="120"/>
        <w:ind w:left="0"/>
        <w:rPr>
          <w:rFonts w:ascii="Times New Roman" w:eastAsia="MS Mincho" w:hAnsi="Times New Roman" w:cs="Times New Roman"/>
          <w:b/>
          <w:color w:val="000000" w:themeColor="text1"/>
          <w:sz w:val="22"/>
          <w:szCs w:val="22"/>
          <w:u w:val="single"/>
          <w:lang w:eastAsia="ja-JP"/>
        </w:rPr>
      </w:pPr>
      <w:r w:rsidRPr="001C7C6B">
        <w:rPr>
          <w:rFonts w:ascii="Times New Roman" w:eastAsia="MS Mincho" w:hAnsi="Times New Roman" w:cs="Times New Roman"/>
          <w:b/>
          <w:color w:val="000000" w:themeColor="text1"/>
          <w:sz w:val="22"/>
          <w:szCs w:val="22"/>
          <w:u w:val="single"/>
          <w:lang w:eastAsia="ja-JP"/>
        </w:rPr>
        <w:t>Beam selection:</w:t>
      </w:r>
    </w:p>
    <w:p w14:paraId="7791D1F8" w14:textId="77777777" w:rsidR="00DD7486" w:rsidRPr="00D929F8" w:rsidRDefault="00DD7486" w:rsidP="00DD7486">
      <w:pPr>
        <w:pStyle w:val="ListParagraph"/>
        <w:spacing w:after="120"/>
        <w:ind w:left="0"/>
        <w:rPr>
          <w:rFonts w:ascii="Times New Roman" w:eastAsia="MS Mincho" w:hAnsi="Times New Roman" w:cs="Times New Roman"/>
          <w:color w:val="000000" w:themeColor="text1"/>
          <w:sz w:val="22"/>
          <w:szCs w:val="22"/>
          <w:lang w:eastAsia="ja-JP"/>
        </w:rPr>
      </w:pPr>
      <w:r w:rsidRPr="00DD7486">
        <w:rPr>
          <w:rFonts w:ascii="Times New Roman" w:eastAsia="MS Mincho" w:hAnsi="Times New Roman" w:cs="Times New Roman"/>
          <w:color w:val="000000" w:themeColor="text1"/>
          <w:sz w:val="22"/>
          <w:szCs w:val="22"/>
          <w:lang w:eastAsia="ja-JP"/>
        </w:rPr>
        <w:t>Another aspect</w:t>
      </w:r>
      <w:r w:rsidRPr="00D929F8">
        <w:rPr>
          <w:rFonts w:ascii="Times New Roman" w:eastAsia="MS Mincho" w:hAnsi="Times New Roman" w:cs="Times New Roman"/>
          <w:color w:val="000000" w:themeColor="text1"/>
          <w:sz w:val="22"/>
          <w:szCs w:val="22"/>
          <w:lang w:eastAsia="ja-JP"/>
        </w:rPr>
        <w:t xml:space="preserve"> which has not been covered by email discussion is related to beam selection.</w:t>
      </w:r>
    </w:p>
    <w:p w14:paraId="5F36B387" w14:textId="3D884A33" w:rsidR="0068252F" w:rsidRDefault="003D2855" w:rsidP="0068252F">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 xml:space="preserve">Beam </w:t>
      </w:r>
      <w:r w:rsidR="00C07010" w:rsidRPr="001C7C6B">
        <w:rPr>
          <w:rFonts w:ascii="Times New Roman" w:eastAsia="MS Mincho" w:hAnsi="Times New Roman" w:cs="Times New Roman"/>
          <w:color w:val="000000" w:themeColor="text1"/>
          <w:sz w:val="22"/>
          <w:szCs w:val="22"/>
          <w:lang w:eastAsia="ja-JP"/>
        </w:rPr>
        <w:t xml:space="preserve">selection is an area that </w:t>
      </w:r>
      <w:r w:rsidRPr="001C7C6B">
        <w:rPr>
          <w:rFonts w:ascii="Times New Roman" w:eastAsia="MS Mincho" w:hAnsi="Times New Roman" w:cs="Times New Roman"/>
          <w:color w:val="000000" w:themeColor="text1"/>
          <w:sz w:val="22"/>
          <w:szCs w:val="22"/>
          <w:lang w:eastAsia="ja-JP"/>
        </w:rPr>
        <w:t xml:space="preserve">may be impacted by LBT, in case the base station </w:t>
      </w:r>
      <w:r w:rsidR="00DF71FF">
        <w:rPr>
          <w:rFonts w:ascii="Times New Roman" w:eastAsia="MS Mincho" w:hAnsi="Times New Roman" w:cs="Times New Roman"/>
          <w:color w:val="000000" w:themeColor="text1"/>
          <w:sz w:val="22"/>
          <w:szCs w:val="22"/>
          <w:lang w:eastAsia="ja-JP"/>
        </w:rPr>
        <w:t>is</w:t>
      </w:r>
      <w:r w:rsidRPr="001C7C6B">
        <w:rPr>
          <w:rFonts w:ascii="Times New Roman" w:eastAsia="MS Mincho" w:hAnsi="Times New Roman" w:cs="Times New Roman"/>
          <w:color w:val="000000" w:themeColor="text1"/>
          <w:sz w:val="22"/>
          <w:szCs w:val="22"/>
          <w:lang w:eastAsia="ja-JP"/>
        </w:rPr>
        <w:t xml:space="preserve"> prohibited to transmit SSB in certain beam for </w:t>
      </w:r>
      <w:proofErr w:type="gramStart"/>
      <w:r w:rsidR="00DD7486">
        <w:rPr>
          <w:rFonts w:ascii="Times New Roman" w:eastAsia="MS Mincho" w:hAnsi="Times New Roman" w:cs="Times New Roman"/>
          <w:color w:val="000000" w:themeColor="text1"/>
          <w:sz w:val="22"/>
          <w:szCs w:val="22"/>
          <w:lang w:eastAsia="ja-JP"/>
        </w:rPr>
        <w:t>a number of</w:t>
      </w:r>
      <w:proofErr w:type="gramEnd"/>
      <w:r w:rsidR="00DD7486">
        <w:rPr>
          <w:rFonts w:ascii="Times New Roman" w:eastAsia="MS Mincho" w:hAnsi="Times New Roman" w:cs="Times New Roman"/>
          <w:color w:val="000000" w:themeColor="text1"/>
          <w:sz w:val="22"/>
          <w:szCs w:val="22"/>
          <w:lang w:eastAsia="ja-JP"/>
        </w:rPr>
        <w:t xml:space="preserve"> occasions or during a certain time period.</w:t>
      </w:r>
    </w:p>
    <w:p w14:paraId="3F16252A" w14:textId="59AF50B8" w:rsidR="00DD7486" w:rsidRDefault="00DD7486" w:rsidP="0068252F">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One way forward to discuss can be to support the UE is monitoring not only the best beam, but monitors two or more beams in parallel, </w:t>
      </w:r>
      <w:proofErr w:type="gramStart"/>
      <w:r>
        <w:rPr>
          <w:rFonts w:ascii="Times New Roman" w:eastAsia="MS Mincho" w:hAnsi="Times New Roman" w:cs="Times New Roman"/>
          <w:color w:val="000000" w:themeColor="text1"/>
          <w:sz w:val="22"/>
          <w:szCs w:val="22"/>
          <w:lang w:eastAsia="ja-JP"/>
        </w:rPr>
        <w:t>in order to</w:t>
      </w:r>
      <w:proofErr w:type="gramEnd"/>
      <w:r>
        <w:rPr>
          <w:rFonts w:ascii="Times New Roman" w:eastAsia="MS Mincho" w:hAnsi="Times New Roman" w:cs="Times New Roman"/>
          <w:color w:val="000000" w:themeColor="text1"/>
          <w:sz w:val="22"/>
          <w:szCs w:val="22"/>
          <w:lang w:eastAsia="ja-JP"/>
        </w:rPr>
        <w:t xml:space="preserve"> always have the possibility to fast access attempt if the SSB is blocked by LBT on the best beam </w:t>
      </w:r>
      <w:r w:rsidR="006D194E">
        <w:rPr>
          <w:rFonts w:ascii="Times New Roman" w:eastAsia="MS Mincho" w:hAnsi="Times New Roman" w:cs="Times New Roman"/>
          <w:color w:val="000000" w:themeColor="text1"/>
          <w:sz w:val="22"/>
          <w:szCs w:val="22"/>
          <w:lang w:eastAsia="ja-JP"/>
        </w:rPr>
        <w:t xml:space="preserve">that </w:t>
      </w:r>
      <w:r>
        <w:rPr>
          <w:rFonts w:ascii="Times New Roman" w:eastAsia="MS Mincho" w:hAnsi="Times New Roman" w:cs="Times New Roman"/>
          <w:color w:val="000000" w:themeColor="text1"/>
          <w:sz w:val="22"/>
          <w:szCs w:val="22"/>
          <w:lang w:eastAsia="ja-JP"/>
        </w:rPr>
        <w:t>UE is “camping on”.</w:t>
      </w:r>
    </w:p>
    <w:p w14:paraId="1713CECF" w14:textId="0CB24F3A" w:rsidR="0068252F" w:rsidRDefault="0068252F" w:rsidP="0068252F">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CC34B5">
        <w:rPr>
          <w:rFonts w:ascii="Times New Roman" w:eastAsia="MS Mincho" w:hAnsi="Times New Roman" w:cs="Times New Roman"/>
          <w:b/>
          <w:color w:val="000000" w:themeColor="text1"/>
          <w:sz w:val="22"/>
          <w:szCs w:val="22"/>
          <w:lang w:eastAsia="ja-JP"/>
        </w:rPr>
        <w:t>3</w:t>
      </w:r>
      <w:r>
        <w:rPr>
          <w:rFonts w:ascii="Times New Roman" w:eastAsia="MS Mincho" w:hAnsi="Times New Roman" w:cs="Times New Roman"/>
          <w:b/>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The UE sho</w:t>
      </w:r>
      <w:r w:rsidR="00DD7486" w:rsidRPr="00384FE3">
        <w:rPr>
          <w:rFonts w:ascii="Times New Roman" w:eastAsia="MS Mincho" w:hAnsi="Times New Roman" w:cs="Times New Roman"/>
          <w:color w:val="000000" w:themeColor="text1"/>
          <w:sz w:val="22"/>
          <w:szCs w:val="22"/>
          <w:lang w:eastAsia="ja-JP"/>
        </w:rPr>
        <w:t>uld be able to select the alternative</w:t>
      </w:r>
      <w:r w:rsidRPr="001C7C6B">
        <w:rPr>
          <w:rFonts w:ascii="Times New Roman" w:eastAsia="MS Mincho" w:hAnsi="Times New Roman" w:cs="Times New Roman"/>
          <w:color w:val="000000" w:themeColor="text1"/>
          <w:sz w:val="22"/>
          <w:szCs w:val="22"/>
          <w:lang w:eastAsia="ja-JP"/>
        </w:rPr>
        <w:t xml:space="preserve"> best beam</w:t>
      </w:r>
      <w:r w:rsidR="00384FE3">
        <w:rPr>
          <w:rFonts w:ascii="Times New Roman" w:eastAsia="MS Mincho" w:hAnsi="Times New Roman" w:cs="Times New Roman"/>
          <w:color w:val="000000" w:themeColor="text1"/>
          <w:sz w:val="22"/>
          <w:szCs w:val="22"/>
          <w:lang w:eastAsia="ja-JP"/>
        </w:rPr>
        <w:t>.</w:t>
      </w:r>
    </w:p>
    <w:p w14:paraId="50921D9B" w14:textId="77777777" w:rsidR="0068252F" w:rsidRPr="006A009D" w:rsidRDefault="0068252F"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7E1FCFA1" w14:textId="0019C109" w:rsidR="001D76DF" w:rsidRDefault="00842220" w:rsidP="001D76DF">
      <w:pPr>
        <w:pStyle w:val="Heading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0ABD75A3" w14:textId="49AF2884" w:rsidR="0017003A" w:rsidRDefault="0017003A" w:rsidP="0017003A">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CC34B5">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b/>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 xml:space="preserve">The UE should be able to </w:t>
      </w:r>
      <w:r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w:t>
      </w:r>
      <w:r w:rsidR="00CC34B5">
        <w:rPr>
          <w:rFonts w:ascii="Times New Roman" w:eastAsia="MS Mincho" w:hAnsi="Times New Roman" w:cs="Times New Roman"/>
          <w:color w:val="000000" w:themeColor="text1"/>
          <w:sz w:val="22"/>
          <w:szCs w:val="22"/>
          <w:lang w:eastAsia="ja-JP"/>
        </w:rPr>
        <w:t>multiple</w:t>
      </w:r>
      <w:r w:rsidRPr="001C7C6B">
        <w:rPr>
          <w:rFonts w:ascii="Times New Roman" w:eastAsia="MS Mincho" w:hAnsi="Times New Roman" w:cs="Times New Roman"/>
          <w:color w:val="000000" w:themeColor="text1"/>
          <w:sz w:val="22"/>
          <w:szCs w:val="22"/>
          <w:lang w:eastAsia="ja-JP"/>
        </w:rPr>
        <w:t xml:space="preserve"> RACH procedures</w:t>
      </w:r>
      <w:r>
        <w:rPr>
          <w:rFonts w:ascii="Times New Roman" w:eastAsia="MS Mincho" w:hAnsi="Times New Roman" w:cs="Times New Roman"/>
          <w:color w:val="000000" w:themeColor="text1"/>
          <w:sz w:val="22"/>
          <w:szCs w:val="22"/>
          <w:lang w:eastAsia="ja-JP"/>
        </w:rPr>
        <w:t xml:space="preserve"> on different BWP.</w:t>
      </w:r>
    </w:p>
    <w:p w14:paraId="14324D37" w14:textId="5FB22A8A" w:rsidR="0017003A" w:rsidRDefault="0017003A" w:rsidP="0017003A">
      <w:pPr>
        <w:pStyle w:val="ListParagraph"/>
        <w:spacing w:after="120"/>
        <w:ind w:left="0"/>
        <w:rPr>
          <w:rFonts w:ascii="Times New Roman" w:hAnsi="Times New Roman" w:cs="Times New Roman"/>
          <w:b/>
          <w:bCs/>
          <w:color w:val="000000"/>
          <w:sz w:val="22"/>
          <w:szCs w:val="22"/>
          <w:lang w:eastAsia="ja-JP"/>
        </w:rPr>
      </w:pPr>
      <w:r>
        <w:rPr>
          <w:rFonts w:ascii="Times New Roman" w:hAnsi="Times New Roman" w:cs="Times New Roman"/>
          <w:b/>
          <w:bCs/>
          <w:color w:val="000000"/>
          <w:sz w:val="22"/>
          <w:szCs w:val="22"/>
          <w:lang w:eastAsia="ja-JP"/>
        </w:rPr>
        <w:t xml:space="preserve">Proposal </w:t>
      </w:r>
      <w:r w:rsidR="00CC34B5">
        <w:rPr>
          <w:rFonts w:ascii="Times New Roman" w:hAnsi="Times New Roman" w:cs="Times New Roman"/>
          <w:b/>
          <w:bCs/>
          <w:color w:val="000000"/>
          <w:sz w:val="22"/>
          <w:szCs w:val="22"/>
          <w:lang w:eastAsia="ja-JP"/>
        </w:rPr>
        <w:t>2</w:t>
      </w:r>
      <w:r>
        <w:rPr>
          <w:rFonts w:ascii="Times New Roman" w:hAnsi="Times New Roman" w:cs="Times New Roman"/>
          <w:b/>
          <w:bCs/>
          <w:color w:val="000000"/>
          <w:sz w:val="22"/>
          <w:szCs w:val="22"/>
          <w:lang w:eastAsia="ja-JP"/>
        </w:rPr>
        <w:t xml:space="preserve">: </w:t>
      </w:r>
      <w:r>
        <w:rPr>
          <w:rFonts w:ascii="Times New Roman" w:hAnsi="Times New Roman" w:cs="Times New Roman"/>
          <w:i/>
          <w:iCs/>
          <w:color w:val="000000"/>
          <w:sz w:val="22"/>
          <w:szCs w:val="22"/>
          <w:lang w:eastAsia="ja-JP"/>
        </w:rPr>
        <w:t>In frequency domain, if UL wideband operation with a sub-band bandwidth of 20 MHz is allowed, NR-U should support multiple PRACH resources on multiple sub-bands.</w:t>
      </w:r>
    </w:p>
    <w:p w14:paraId="01F6783A" w14:textId="5116E120" w:rsidR="0017003A" w:rsidRDefault="0017003A" w:rsidP="0017003A">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CC34B5">
        <w:rPr>
          <w:rFonts w:ascii="Times New Roman" w:eastAsia="MS Mincho" w:hAnsi="Times New Roman" w:cs="Times New Roman"/>
          <w:b/>
          <w:color w:val="000000" w:themeColor="text1"/>
          <w:sz w:val="22"/>
          <w:szCs w:val="22"/>
          <w:lang w:eastAsia="ja-JP"/>
        </w:rPr>
        <w:t>3</w:t>
      </w:r>
      <w:r>
        <w:rPr>
          <w:rFonts w:ascii="Times New Roman" w:eastAsia="MS Mincho" w:hAnsi="Times New Roman" w:cs="Times New Roman"/>
          <w:b/>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The UE sho</w:t>
      </w:r>
      <w:r w:rsidRPr="00384FE3">
        <w:rPr>
          <w:rFonts w:ascii="Times New Roman" w:eastAsia="MS Mincho" w:hAnsi="Times New Roman" w:cs="Times New Roman"/>
          <w:color w:val="000000" w:themeColor="text1"/>
          <w:sz w:val="22"/>
          <w:szCs w:val="22"/>
          <w:lang w:eastAsia="ja-JP"/>
        </w:rPr>
        <w:t>uld be able to select the alternative</w:t>
      </w:r>
      <w:r w:rsidRPr="001C7C6B">
        <w:rPr>
          <w:rFonts w:ascii="Times New Roman" w:eastAsia="MS Mincho" w:hAnsi="Times New Roman" w:cs="Times New Roman"/>
          <w:color w:val="000000" w:themeColor="text1"/>
          <w:sz w:val="22"/>
          <w:szCs w:val="22"/>
          <w:lang w:eastAsia="ja-JP"/>
        </w:rPr>
        <w:t xml:space="preserve"> best beam</w:t>
      </w:r>
      <w:r>
        <w:rPr>
          <w:rFonts w:ascii="Times New Roman" w:eastAsia="MS Mincho" w:hAnsi="Times New Roman" w:cs="Times New Roman"/>
          <w:color w:val="000000" w:themeColor="text1"/>
          <w:sz w:val="22"/>
          <w:szCs w:val="22"/>
          <w:lang w:eastAsia="ja-JP"/>
        </w:rPr>
        <w:t>.</w:t>
      </w:r>
    </w:p>
    <w:p w14:paraId="5279D6EA" w14:textId="77777777" w:rsidR="00384FE3" w:rsidRPr="00A93ADD" w:rsidRDefault="00384FE3" w:rsidP="0004485D">
      <w:pPr>
        <w:pStyle w:val="CommentText"/>
        <w:jc w:val="both"/>
        <w:rPr>
          <w:b/>
        </w:rPr>
      </w:pPr>
    </w:p>
    <w:p w14:paraId="48EAE642" w14:textId="77777777" w:rsidR="00842220" w:rsidRPr="005B50B6" w:rsidRDefault="00842220" w:rsidP="0060389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25C56284" w14:textId="09307EBE" w:rsidR="00F95BF6" w:rsidRPr="00F95BF6" w:rsidRDefault="00F95BF6" w:rsidP="00BC2EFB">
      <w:pPr>
        <w:pStyle w:val="NormalWeb"/>
        <w:numPr>
          <w:ilvl w:val="0"/>
          <w:numId w:val="7"/>
        </w:numPr>
        <w:spacing w:before="0" w:beforeAutospacing="0" w:after="120" w:afterAutospacing="0"/>
        <w:rPr>
          <w:rFonts w:ascii="Times New Roman" w:hAnsi="Times New Roman"/>
          <w:sz w:val="22"/>
          <w:szCs w:val="22"/>
        </w:rPr>
      </w:pPr>
      <w:bookmarkStart w:id="1" w:name="_Ref525827631"/>
      <w:r w:rsidRPr="0017003A">
        <w:rPr>
          <w:rFonts w:ascii="Times New Roman" w:hAnsi="Times New Roman"/>
          <w:sz w:val="22"/>
          <w:szCs w:val="22"/>
        </w:rPr>
        <w:t>RP-182878, New WID on NR-based Access to Unlicensed Spectrum</w:t>
      </w:r>
    </w:p>
    <w:p w14:paraId="2F152C2D" w14:textId="4F0F7206" w:rsidR="00F95BF6" w:rsidRPr="00580B40" w:rsidRDefault="00580B40" w:rsidP="00BC2EFB">
      <w:pPr>
        <w:pStyle w:val="NormalWeb"/>
        <w:numPr>
          <w:ilvl w:val="0"/>
          <w:numId w:val="7"/>
        </w:numPr>
        <w:spacing w:before="0" w:beforeAutospacing="0" w:after="120" w:afterAutospacing="0"/>
        <w:rPr>
          <w:rFonts w:ascii="Times New Roman" w:hAnsi="Times New Roman"/>
          <w:sz w:val="22"/>
          <w:szCs w:val="22"/>
        </w:rPr>
      </w:pPr>
      <w:bookmarkStart w:id="2" w:name="_Ref877622"/>
      <w:bookmarkEnd w:id="1"/>
      <w:r w:rsidRPr="0017003A">
        <w:rPr>
          <w:rFonts w:ascii="Times New Roman" w:hAnsi="Times New Roman"/>
          <w:sz w:val="22"/>
          <w:szCs w:val="22"/>
        </w:rPr>
        <w:t>R2-1816598</w:t>
      </w:r>
      <w:r w:rsidRPr="0017003A">
        <w:rPr>
          <w:rFonts w:ascii="Times New Roman" w:hAnsi="Times New Roman"/>
          <w:sz w:val="22"/>
          <w:szCs w:val="22"/>
        </w:rPr>
        <w:tab/>
        <w:t>Discussion on wideband operation for NR-U</w:t>
      </w:r>
      <w:r w:rsidRPr="0017003A">
        <w:rPr>
          <w:rFonts w:ascii="Times New Roman" w:hAnsi="Times New Roman"/>
          <w:sz w:val="22"/>
          <w:szCs w:val="22"/>
        </w:rPr>
        <w:tab/>
        <w:t xml:space="preserve">Huawei, </w:t>
      </w:r>
      <w:proofErr w:type="spellStart"/>
      <w:r w:rsidRPr="0017003A">
        <w:rPr>
          <w:rFonts w:ascii="Times New Roman" w:hAnsi="Times New Roman"/>
          <w:sz w:val="22"/>
          <w:szCs w:val="22"/>
        </w:rPr>
        <w:t>HiSilicon</w:t>
      </w:r>
      <w:bookmarkEnd w:id="2"/>
      <w:proofErr w:type="spellEnd"/>
      <w:r w:rsidRPr="0017003A">
        <w:rPr>
          <w:rFonts w:ascii="Times New Roman" w:hAnsi="Times New Roman"/>
          <w:sz w:val="22"/>
          <w:szCs w:val="22"/>
        </w:rPr>
        <w:tab/>
      </w:r>
    </w:p>
    <w:p w14:paraId="7678064A" w14:textId="078E9625" w:rsidR="00580B40" w:rsidRDefault="00660655" w:rsidP="00BC2EFB">
      <w:pPr>
        <w:pStyle w:val="NormalWeb"/>
        <w:numPr>
          <w:ilvl w:val="0"/>
          <w:numId w:val="7"/>
        </w:numPr>
        <w:spacing w:before="0" w:beforeAutospacing="0" w:after="120" w:afterAutospacing="0"/>
        <w:rPr>
          <w:rFonts w:ascii="Times New Roman" w:hAnsi="Times New Roman"/>
          <w:sz w:val="22"/>
          <w:szCs w:val="22"/>
        </w:rPr>
      </w:pPr>
      <w:bookmarkStart w:id="3" w:name="_Ref877463"/>
      <w:r w:rsidRPr="0017003A">
        <w:rPr>
          <w:rFonts w:ascii="Times New Roman" w:hAnsi="Times New Roman"/>
          <w:sz w:val="22"/>
          <w:szCs w:val="22"/>
        </w:rPr>
        <w:t>R2-1816828</w:t>
      </w:r>
      <w:r w:rsidRPr="0017003A">
        <w:rPr>
          <w:rFonts w:ascii="Times New Roman" w:hAnsi="Times New Roman"/>
          <w:sz w:val="22"/>
          <w:szCs w:val="22"/>
        </w:rPr>
        <w:tab/>
        <w:t>considerations on BWP for NR-U</w:t>
      </w:r>
      <w:r w:rsidRPr="0017003A">
        <w:rPr>
          <w:rFonts w:ascii="Times New Roman" w:hAnsi="Times New Roman"/>
          <w:sz w:val="22"/>
          <w:szCs w:val="22"/>
        </w:rPr>
        <w:tab/>
        <w:t>ZTE Corporation</w:t>
      </w:r>
      <w:bookmarkEnd w:id="3"/>
    </w:p>
    <w:p w14:paraId="0422B8E0" w14:textId="6B979CD0" w:rsidR="00965C66" w:rsidRDefault="00965C66" w:rsidP="00BC2EFB">
      <w:pPr>
        <w:pStyle w:val="NormalWeb"/>
        <w:numPr>
          <w:ilvl w:val="0"/>
          <w:numId w:val="7"/>
        </w:numPr>
        <w:spacing w:before="0" w:beforeAutospacing="0" w:after="120" w:afterAutospacing="0"/>
        <w:rPr>
          <w:rFonts w:ascii="Times New Roman" w:hAnsi="Times New Roman"/>
          <w:sz w:val="22"/>
          <w:szCs w:val="22"/>
        </w:rPr>
      </w:pPr>
      <w:bookmarkStart w:id="4" w:name="_Ref1032981"/>
      <w:r w:rsidRPr="00965C66">
        <w:rPr>
          <w:rFonts w:ascii="Times New Roman" w:hAnsi="Times New Roman"/>
          <w:sz w:val="22"/>
          <w:szCs w:val="22"/>
        </w:rPr>
        <w:t>R1-1902173, Wideband operation for NR Unlicensed, Rev: R1-1900367</w:t>
      </w:r>
      <w:bookmarkEnd w:id="4"/>
    </w:p>
    <w:p w14:paraId="3267C52F" w14:textId="28B3ABA7" w:rsidR="00792AFB" w:rsidRDefault="00792AFB" w:rsidP="00BC2EFB">
      <w:pPr>
        <w:pStyle w:val="NormalWeb"/>
        <w:numPr>
          <w:ilvl w:val="0"/>
          <w:numId w:val="7"/>
        </w:numPr>
        <w:spacing w:before="0" w:beforeAutospacing="0" w:after="120" w:afterAutospacing="0"/>
        <w:rPr>
          <w:rFonts w:ascii="Times New Roman" w:hAnsi="Times New Roman"/>
          <w:sz w:val="22"/>
          <w:szCs w:val="22"/>
        </w:rPr>
      </w:pPr>
      <w:r>
        <w:rPr>
          <w:rFonts w:ascii="Times New Roman" w:hAnsi="Times New Roman"/>
          <w:sz w:val="22"/>
          <w:szCs w:val="22"/>
        </w:rPr>
        <w:t>Chairman notes, RAN2#104</w:t>
      </w:r>
      <w:r w:rsidR="00114CB2">
        <w:rPr>
          <w:rFonts w:ascii="Times New Roman" w:hAnsi="Times New Roman"/>
          <w:sz w:val="22"/>
          <w:szCs w:val="22"/>
        </w:rPr>
        <w:t>, Spokane</w:t>
      </w:r>
    </w:p>
    <w:p w14:paraId="5D93A9B2" w14:textId="66C2ACC5" w:rsidR="00792AFB" w:rsidRPr="00580B40" w:rsidRDefault="00792AFB" w:rsidP="00BC2EFB">
      <w:pPr>
        <w:pStyle w:val="NormalWeb"/>
        <w:numPr>
          <w:ilvl w:val="0"/>
          <w:numId w:val="7"/>
        </w:numPr>
        <w:spacing w:before="0" w:beforeAutospacing="0" w:after="120" w:afterAutospacing="0"/>
        <w:rPr>
          <w:rFonts w:ascii="Times New Roman" w:hAnsi="Times New Roman"/>
          <w:sz w:val="22"/>
          <w:szCs w:val="22"/>
        </w:rPr>
      </w:pPr>
      <w:r>
        <w:rPr>
          <w:rFonts w:ascii="Times New Roman" w:hAnsi="Times New Roman"/>
          <w:sz w:val="22"/>
          <w:szCs w:val="22"/>
        </w:rPr>
        <w:t>Chairman notes, RAN2#105</w:t>
      </w:r>
      <w:r w:rsidR="00114CB2">
        <w:rPr>
          <w:rFonts w:ascii="Times New Roman" w:hAnsi="Times New Roman"/>
          <w:sz w:val="22"/>
          <w:szCs w:val="22"/>
        </w:rPr>
        <w:t>, Athens</w:t>
      </w:r>
    </w:p>
    <w:sectPr w:rsidR="00792AFB" w:rsidRPr="00580B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CF677" w14:textId="77777777" w:rsidR="00037A6E" w:rsidRDefault="00037A6E">
      <w:r>
        <w:separator/>
      </w:r>
    </w:p>
  </w:endnote>
  <w:endnote w:type="continuationSeparator" w:id="0">
    <w:p w14:paraId="0334B363" w14:textId="77777777" w:rsidR="00037A6E" w:rsidRDefault="0003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C4E17" w14:textId="77777777" w:rsidR="00037A6E" w:rsidRDefault="00037A6E">
      <w:r>
        <w:separator/>
      </w:r>
    </w:p>
  </w:footnote>
  <w:footnote w:type="continuationSeparator" w:id="0">
    <w:p w14:paraId="5CC4A723" w14:textId="77777777" w:rsidR="00037A6E" w:rsidRDefault="00037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D21CE"/>
    <w:multiLevelType w:val="hybridMultilevel"/>
    <w:tmpl w:val="FD868ADC"/>
    <w:lvl w:ilvl="0" w:tplc="85CC47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717"/>
        </w:tabs>
        <w:ind w:left="714" w:hanging="357"/>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D7BFB"/>
    <w:multiLevelType w:val="hybridMultilevel"/>
    <w:tmpl w:val="42066F90"/>
    <w:lvl w:ilvl="0" w:tplc="597440B0">
      <w:start w:val="1"/>
      <w:numFmt w:val="bullet"/>
      <w:lvlText w:val="•"/>
      <w:lvlJc w:val="left"/>
      <w:pPr>
        <w:tabs>
          <w:tab w:val="num" w:pos="720"/>
        </w:tabs>
        <w:ind w:left="720" w:hanging="360"/>
      </w:pPr>
      <w:rPr>
        <w:rFonts w:ascii="Arial" w:hAnsi="Arial" w:hint="default"/>
      </w:rPr>
    </w:lvl>
    <w:lvl w:ilvl="1" w:tplc="030C3F62">
      <w:start w:val="91"/>
      <w:numFmt w:val="bullet"/>
      <w:lvlText w:val="◦"/>
      <w:lvlJc w:val="left"/>
      <w:pPr>
        <w:tabs>
          <w:tab w:val="num" w:pos="1440"/>
        </w:tabs>
        <w:ind w:left="1440" w:hanging="360"/>
      </w:pPr>
      <w:rPr>
        <w:rFonts w:ascii="Microsoft Sans Serif" w:hAnsi="Microsoft Sans Serif" w:hint="default"/>
      </w:rPr>
    </w:lvl>
    <w:lvl w:ilvl="2" w:tplc="22E635E2" w:tentative="1">
      <w:start w:val="1"/>
      <w:numFmt w:val="bullet"/>
      <w:lvlText w:val="•"/>
      <w:lvlJc w:val="left"/>
      <w:pPr>
        <w:tabs>
          <w:tab w:val="num" w:pos="2160"/>
        </w:tabs>
        <w:ind w:left="2160" w:hanging="360"/>
      </w:pPr>
      <w:rPr>
        <w:rFonts w:ascii="Arial" w:hAnsi="Arial" w:hint="default"/>
      </w:rPr>
    </w:lvl>
    <w:lvl w:ilvl="3" w:tplc="854C2E28" w:tentative="1">
      <w:start w:val="1"/>
      <w:numFmt w:val="bullet"/>
      <w:lvlText w:val="•"/>
      <w:lvlJc w:val="left"/>
      <w:pPr>
        <w:tabs>
          <w:tab w:val="num" w:pos="2880"/>
        </w:tabs>
        <w:ind w:left="2880" w:hanging="360"/>
      </w:pPr>
      <w:rPr>
        <w:rFonts w:ascii="Arial" w:hAnsi="Arial" w:hint="default"/>
      </w:rPr>
    </w:lvl>
    <w:lvl w:ilvl="4" w:tplc="021A190E" w:tentative="1">
      <w:start w:val="1"/>
      <w:numFmt w:val="bullet"/>
      <w:lvlText w:val="•"/>
      <w:lvlJc w:val="left"/>
      <w:pPr>
        <w:tabs>
          <w:tab w:val="num" w:pos="3600"/>
        </w:tabs>
        <w:ind w:left="3600" w:hanging="360"/>
      </w:pPr>
      <w:rPr>
        <w:rFonts w:ascii="Arial" w:hAnsi="Arial" w:hint="default"/>
      </w:rPr>
    </w:lvl>
    <w:lvl w:ilvl="5" w:tplc="7D72FEDA" w:tentative="1">
      <w:start w:val="1"/>
      <w:numFmt w:val="bullet"/>
      <w:lvlText w:val="•"/>
      <w:lvlJc w:val="left"/>
      <w:pPr>
        <w:tabs>
          <w:tab w:val="num" w:pos="4320"/>
        </w:tabs>
        <w:ind w:left="4320" w:hanging="360"/>
      </w:pPr>
      <w:rPr>
        <w:rFonts w:ascii="Arial" w:hAnsi="Arial" w:hint="default"/>
      </w:rPr>
    </w:lvl>
    <w:lvl w:ilvl="6" w:tplc="AB101086" w:tentative="1">
      <w:start w:val="1"/>
      <w:numFmt w:val="bullet"/>
      <w:lvlText w:val="•"/>
      <w:lvlJc w:val="left"/>
      <w:pPr>
        <w:tabs>
          <w:tab w:val="num" w:pos="5040"/>
        </w:tabs>
        <w:ind w:left="5040" w:hanging="360"/>
      </w:pPr>
      <w:rPr>
        <w:rFonts w:ascii="Arial" w:hAnsi="Arial" w:hint="default"/>
      </w:rPr>
    </w:lvl>
    <w:lvl w:ilvl="7" w:tplc="284096CC" w:tentative="1">
      <w:start w:val="1"/>
      <w:numFmt w:val="bullet"/>
      <w:lvlText w:val="•"/>
      <w:lvlJc w:val="left"/>
      <w:pPr>
        <w:tabs>
          <w:tab w:val="num" w:pos="5760"/>
        </w:tabs>
        <w:ind w:left="5760" w:hanging="360"/>
      </w:pPr>
      <w:rPr>
        <w:rFonts w:ascii="Arial" w:hAnsi="Arial" w:hint="default"/>
      </w:rPr>
    </w:lvl>
    <w:lvl w:ilvl="8" w:tplc="9E6868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6"/>
  </w:num>
  <w:num w:numId="4">
    <w:abstractNumId w:val="18"/>
  </w:num>
  <w:num w:numId="5">
    <w:abstractNumId w:val="24"/>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3"/>
  </w:num>
  <w:num w:numId="11">
    <w:abstractNumId w:val="5"/>
  </w:num>
  <w:num w:numId="12">
    <w:abstractNumId w:val="7"/>
  </w:num>
  <w:num w:numId="13">
    <w:abstractNumId w:val="1"/>
  </w:num>
  <w:num w:numId="14">
    <w:abstractNumId w:val="17"/>
  </w:num>
  <w:num w:numId="15">
    <w:abstractNumId w:val="16"/>
  </w:num>
  <w:num w:numId="16">
    <w:abstractNumId w:val="2"/>
  </w:num>
  <w:num w:numId="17">
    <w:abstractNumId w:val="12"/>
  </w:num>
  <w:num w:numId="18">
    <w:abstractNumId w:val="9"/>
  </w:num>
  <w:num w:numId="19">
    <w:abstractNumId w:val="19"/>
  </w:num>
  <w:num w:numId="20">
    <w:abstractNumId w:val="22"/>
  </w:num>
  <w:num w:numId="21">
    <w:abstractNumId w:val="23"/>
  </w:num>
  <w:num w:numId="22">
    <w:abstractNumId w:val="6"/>
  </w:num>
  <w:num w:numId="23">
    <w:abstractNumId w:val="15"/>
  </w:num>
  <w:num w:numId="24">
    <w:abstractNumId w:val="8"/>
  </w:num>
  <w:num w:numId="25">
    <w:abstractNumId w:val="25"/>
  </w:num>
  <w:num w:numId="26">
    <w:abstractNumId w:val="0"/>
  </w:num>
  <w:num w:numId="27">
    <w:abstractNumId w:val="20"/>
  </w:num>
  <w:num w:numId="2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C77"/>
    <w:rsid w:val="00006F3B"/>
    <w:rsid w:val="000072B6"/>
    <w:rsid w:val="00007813"/>
    <w:rsid w:val="00007CC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A6E"/>
    <w:rsid w:val="000400E3"/>
    <w:rsid w:val="0004022C"/>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85D"/>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0A5"/>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070"/>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18F"/>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130"/>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0D09"/>
    <w:rsid w:val="001112C4"/>
    <w:rsid w:val="0011130B"/>
    <w:rsid w:val="00111444"/>
    <w:rsid w:val="00111723"/>
    <w:rsid w:val="00111EC3"/>
    <w:rsid w:val="001121AE"/>
    <w:rsid w:val="001124F6"/>
    <w:rsid w:val="00112928"/>
    <w:rsid w:val="001129B5"/>
    <w:rsid w:val="001136C0"/>
    <w:rsid w:val="001141E3"/>
    <w:rsid w:val="001144DF"/>
    <w:rsid w:val="00114A64"/>
    <w:rsid w:val="00114CB2"/>
    <w:rsid w:val="0011557B"/>
    <w:rsid w:val="0011564F"/>
    <w:rsid w:val="001163DF"/>
    <w:rsid w:val="00116711"/>
    <w:rsid w:val="00116806"/>
    <w:rsid w:val="00117269"/>
    <w:rsid w:val="00117C85"/>
    <w:rsid w:val="00120B13"/>
    <w:rsid w:val="00121019"/>
    <w:rsid w:val="00122457"/>
    <w:rsid w:val="001227F5"/>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03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C6B"/>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171"/>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64E"/>
    <w:rsid w:val="001F1308"/>
    <w:rsid w:val="001F1525"/>
    <w:rsid w:val="001F1663"/>
    <w:rsid w:val="001F172A"/>
    <w:rsid w:val="001F17C2"/>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860"/>
    <w:rsid w:val="00210A9E"/>
    <w:rsid w:val="00210B6A"/>
    <w:rsid w:val="002111C2"/>
    <w:rsid w:val="002118BA"/>
    <w:rsid w:val="00212109"/>
    <w:rsid w:val="00212CB6"/>
    <w:rsid w:val="00212E37"/>
    <w:rsid w:val="002140FF"/>
    <w:rsid w:val="00214AEC"/>
    <w:rsid w:val="002156CD"/>
    <w:rsid w:val="002158EA"/>
    <w:rsid w:val="00215AFD"/>
    <w:rsid w:val="00215F7E"/>
    <w:rsid w:val="00216422"/>
    <w:rsid w:val="00216425"/>
    <w:rsid w:val="002170AA"/>
    <w:rsid w:val="00217D5B"/>
    <w:rsid w:val="00217DF2"/>
    <w:rsid w:val="00220894"/>
    <w:rsid w:val="00221005"/>
    <w:rsid w:val="002217BA"/>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57D"/>
    <w:rsid w:val="002859AF"/>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4BD"/>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680"/>
    <w:rsid w:val="002B4AD2"/>
    <w:rsid w:val="002B4F94"/>
    <w:rsid w:val="002B538E"/>
    <w:rsid w:val="002B5DCA"/>
    <w:rsid w:val="002B5F93"/>
    <w:rsid w:val="002B6BDC"/>
    <w:rsid w:val="002B7342"/>
    <w:rsid w:val="002B75B0"/>
    <w:rsid w:val="002B7705"/>
    <w:rsid w:val="002B796A"/>
    <w:rsid w:val="002B7EAF"/>
    <w:rsid w:val="002C05B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0883"/>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0E8F"/>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770"/>
    <w:rsid w:val="00367B1D"/>
    <w:rsid w:val="0037094E"/>
    <w:rsid w:val="0037098F"/>
    <w:rsid w:val="00370E4F"/>
    <w:rsid w:val="00371215"/>
    <w:rsid w:val="00371FEF"/>
    <w:rsid w:val="00372123"/>
    <w:rsid w:val="00372EFB"/>
    <w:rsid w:val="00372F0D"/>
    <w:rsid w:val="00372F54"/>
    <w:rsid w:val="0037336D"/>
    <w:rsid w:val="0037363A"/>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E3C"/>
    <w:rsid w:val="00382489"/>
    <w:rsid w:val="00382A43"/>
    <w:rsid w:val="00382B2B"/>
    <w:rsid w:val="00382D60"/>
    <w:rsid w:val="00382D6B"/>
    <w:rsid w:val="00382F29"/>
    <w:rsid w:val="00383AD4"/>
    <w:rsid w:val="00383C8D"/>
    <w:rsid w:val="00383DB1"/>
    <w:rsid w:val="00384FE3"/>
    <w:rsid w:val="003852FB"/>
    <w:rsid w:val="00385429"/>
    <w:rsid w:val="00385B05"/>
    <w:rsid w:val="00385D2A"/>
    <w:rsid w:val="00386382"/>
    <w:rsid w:val="003865CE"/>
    <w:rsid w:val="003865EF"/>
    <w:rsid w:val="00386B5D"/>
    <w:rsid w:val="00386BA9"/>
    <w:rsid w:val="00387AA7"/>
    <w:rsid w:val="00387C8B"/>
    <w:rsid w:val="00390017"/>
    <w:rsid w:val="003901A3"/>
    <w:rsid w:val="0039072F"/>
    <w:rsid w:val="00390F5F"/>
    <w:rsid w:val="00390F60"/>
    <w:rsid w:val="00391B88"/>
    <w:rsid w:val="003940CE"/>
    <w:rsid w:val="003942FE"/>
    <w:rsid w:val="003947C7"/>
    <w:rsid w:val="00394FCF"/>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4B4"/>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C41"/>
    <w:rsid w:val="003D1DC5"/>
    <w:rsid w:val="003D285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2A0"/>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527F"/>
    <w:rsid w:val="003F6CD2"/>
    <w:rsid w:val="003F745E"/>
    <w:rsid w:val="003F75FB"/>
    <w:rsid w:val="003F788D"/>
    <w:rsid w:val="003F78C0"/>
    <w:rsid w:val="00400E60"/>
    <w:rsid w:val="0040126E"/>
    <w:rsid w:val="0040182C"/>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7C1"/>
    <w:rsid w:val="00416A67"/>
    <w:rsid w:val="00416ACB"/>
    <w:rsid w:val="00416C1C"/>
    <w:rsid w:val="0041720C"/>
    <w:rsid w:val="0041727F"/>
    <w:rsid w:val="00417885"/>
    <w:rsid w:val="00420227"/>
    <w:rsid w:val="004211C6"/>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67D22"/>
    <w:rsid w:val="004700A6"/>
    <w:rsid w:val="004703E9"/>
    <w:rsid w:val="0047069F"/>
    <w:rsid w:val="0047083E"/>
    <w:rsid w:val="00470C11"/>
    <w:rsid w:val="00470EB5"/>
    <w:rsid w:val="004711D4"/>
    <w:rsid w:val="004719AB"/>
    <w:rsid w:val="0047256D"/>
    <w:rsid w:val="0047286B"/>
    <w:rsid w:val="0047286D"/>
    <w:rsid w:val="00472E27"/>
    <w:rsid w:val="00472E84"/>
    <w:rsid w:val="004734F2"/>
    <w:rsid w:val="0047378C"/>
    <w:rsid w:val="00473881"/>
    <w:rsid w:val="00474220"/>
    <w:rsid w:val="0047428C"/>
    <w:rsid w:val="0047444F"/>
    <w:rsid w:val="00474C39"/>
    <w:rsid w:val="004752D3"/>
    <w:rsid w:val="004754E1"/>
    <w:rsid w:val="00475528"/>
    <w:rsid w:val="00475AFF"/>
    <w:rsid w:val="00475CE0"/>
    <w:rsid w:val="0047658C"/>
    <w:rsid w:val="004766D9"/>
    <w:rsid w:val="00476827"/>
    <w:rsid w:val="00476BD4"/>
    <w:rsid w:val="00477C35"/>
    <w:rsid w:val="00480988"/>
    <w:rsid w:val="00480E05"/>
    <w:rsid w:val="00480F2F"/>
    <w:rsid w:val="004813F8"/>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BCA"/>
    <w:rsid w:val="00496CF5"/>
    <w:rsid w:val="00496F05"/>
    <w:rsid w:val="00497370"/>
    <w:rsid w:val="00497C5D"/>
    <w:rsid w:val="004A031B"/>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919"/>
    <w:rsid w:val="004C0DC5"/>
    <w:rsid w:val="004C0DF4"/>
    <w:rsid w:val="004C1840"/>
    <w:rsid w:val="004C19A3"/>
    <w:rsid w:val="004C20B9"/>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617"/>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3C"/>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38F7"/>
    <w:rsid w:val="00564A45"/>
    <w:rsid w:val="005651D3"/>
    <w:rsid w:val="00565377"/>
    <w:rsid w:val="00565379"/>
    <w:rsid w:val="005653EA"/>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B40"/>
    <w:rsid w:val="00580E48"/>
    <w:rsid w:val="00580EA7"/>
    <w:rsid w:val="00580F0A"/>
    <w:rsid w:val="00581246"/>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659"/>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4D87"/>
    <w:rsid w:val="005B50B6"/>
    <w:rsid w:val="005B5A46"/>
    <w:rsid w:val="005B6993"/>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8ED"/>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D34"/>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37B"/>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4EF5"/>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C4"/>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0655"/>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36D"/>
    <w:rsid w:val="00681B36"/>
    <w:rsid w:val="0068252F"/>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09D"/>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16"/>
    <w:rsid w:val="006D0B31"/>
    <w:rsid w:val="006D0D75"/>
    <w:rsid w:val="006D0E02"/>
    <w:rsid w:val="006D1360"/>
    <w:rsid w:val="006D16B0"/>
    <w:rsid w:val="006D194E"/>
    <w:rsid w:val="006D2182"/>
    <w:rsid w:val="006D2444"/>
    <w:rsid w:val="006D254B"/>
    <w:rsid w:val="006D289B"/>
    <w:rsid w:val="006D29DC"/>
    <w:rsid w:val="006D2CD1"/>
    <w:rsid w:val="006D2EB7"/>
    <w:rsid w:val="006D368A"/>
    <w:rsid w:val="006D3BE1"/>
    <w:rsid w:val="006D43BD"/>
    <w:rsid w:val="006D48FC"/>
    <w:rsid w:val="006D4D42"/>
    <w:rsid w:val="006D59E6"/>
    <w:rsid w:val="006D5A78"/>
    <w:rsid w:val="006D5FAD"/>
    <w:rsid w:val="006D613A"/>
    <w:rsid w:val="006D62BC"/>
    <w:rsid w:val="006D6450"/>
    <w:rsid w:val="006D6626"/>
    <w:rsid w:val="006D6939"/>
    <w:rsid w:val="006D6987"/>
    <w:rsid w:val="006D6AA3"/>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456"/>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BF7"/>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A98"/>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A27"/>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1AB"/>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0467"/>
    <w:rsid w:val="00750C69"/>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1E9"/>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2AFB"/>
    <w:rsid w:val="0079344C"/>
    <w:rsid w:val="00793539"/>
    <w:rsid w:val="00793985"/>
    <w:rsid w:val="00793AC7"/>
    <w:rsid w:val="0079468D"/>
    <w:rsid w:val="00794924"/>
    <w:rsid w:val="00794A69"/>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055A"/>
    <w:rsid w:val="007B0A23"/>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766"/>
    <w:rsid w:val="007F3ECA"/>
    <w:rsid w:val="007F3EDD"/>
    <w:rsid w:val="007F443C"/>
    <w:rsid w:val="007F50CE"/>
    <w:rsid w:val="007F5FA5"/>
    <w:rsid w:val="007F6880"/>
    <w:rsid w:val="007F69F1"/>
    <w:rsid w:val="007F70DF"/>
    <w:rsid w:val="007F7237"/>
    <w:rsid w:val="007F76B4"/>
    <w:rsid w:val="007F76E4"/>
    <w:rsid w:val="007F77D0"/>
    <w:rsid w:val="008001B4"/>
    <w:rsid w:val="0080041F"/>
    <w:rsid w:val="008005EE"/>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647"/>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2BE1"/>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B0D"/>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0B2"/>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044E"/>
    <w:rsid w:val="0087126C"/>
    <w:rsid w:val="008712FD"/>
    <w:rsid w:val="008713EB"/>
    <w:rsid w:val="008716A1"/>
    <w:rsid w:val="00871704"/>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268"/>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336"/>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266E"/>
    <w:rsid w:val="008B29A0"/>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163"/>
    <w:rsid w:val="008C76EC"/>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478"/>
    <w:rsid w:val="00903802"/>
    <w:rsid w:val="00903D3F"/>
    <w:rsid w:val="00904249"/>
    <w:rsid w:val="009047C2"/>
    <w:rsid w:val="00905066"/>
    <w:rsid w:val="0090515C"/>
    <w:rsid w:val="0090521A"/>
    <w:rsid w:val="0090533F"/>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2F60"/>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51"/>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22"/>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32D"/>
    <w:rsid w:val="00963E2B"/>
    <w:rsid w:val="00964718"/>
    <w:rsid w:val="00964C06"/>
    <w:rsid w:val="00964D65"/>
    <w:rsid w:val="0096502A"/>
    <w:rsid w:val="009657F1"/>
    <w:rsid w:val="00965A0C"/>
    <w:rsid w:val="00965B14"/>
    <w:rsid w:val="00965C66"/>
    <w:rsid w:val="0096625D"/>
    <w:rsid w:val="00966B03"/>
    <w:rsid w:val="00966CE3"/>
    <w:rsid w:val="00966FA6"/>
    <w:rsid w:val="0096787C"/>
    <w:rsid w:val="0096789B"/>
    <w:rsid w:val="00967E1F"/>
    <w:rsid w:val="009705FB"/>
    <w:rsid w:val="00970634"/>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3EC7"/>
    <w:rsid w:val="009A483C"/>
    <w:rsid w:val="009A4869"/>
    <w:rsid w:val="009A4D04"/>
    <w:rsid w:val="009A505F"/>
    <w:rsid w:val="009A532E"/>
    <w:rsid w:val="009A6A6B"/>
    <w:rsid w:val="009A791C"/>
    <w:rsid w:val="009B1E81"/>
    <w:rsid w:val="009B1EF9"/>
    <w:rsid w:val="009B1F0A"/>
    <w:rsid w:val="009B2090"/>
    <w:rsid w:val="009B2444"/>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3E"/>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8B8"/>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07D39"/>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6BE"/>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4E47"/>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C02"/>
    <w:rsid w:val="00A52D7D"/>
    <w:rsid w:val="00A52E4E"/>
    <w:rsid w:val="00A5356E"/>
    <w:rsid w:val="00A53CEF"/>
    <w:rsid w:val="00A53EF2"/>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592"/>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5FCA"/>
    <w:rsid w:val="00A761F1"/>
    <w:rsid w:val="00A7627C"/>
    <w:rsid w:val="00A76792"/>
    <w:rsid w:val="00A76AC9"/>
    <w:rsid w:val="00A770F2"/>
    <w:rsid w:val="00A77A72"/>
    <w:rsid w:val="00A77B49"/>
    <w:rsid w:val="00A77D2C"/>
    <w:rsid w:val="00A77DDD"/>
    <w:rsid w:val="00A77F53"/>
    <w:rsid w:val="00A803D5"/>
    <w:rsid w:val="00A8056E"/>
    <w:rsid w:val="00A8095B"/>
    <w:rsid w:val="00A80ADE"/>
    <w:rsid w:val="00A8100D"/>
    <w:rsid w:val="00A8240A"/>
    <w:rsid w:val="00A8253A"/>
    <w:rsid w:val="00A82907"/>
    <w:rsid w:val="00A829FA"/>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ADD"/>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6BD3"/>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6DC7"/>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4FC"/>
    <w:rsid w:val="00B026C1"/>
    <w:rsid w:val="00B027A7"/>
    <w:rsid w:val="00B02B9C"/>
    <w:rsid w:val="00B0353B"/>
    <w:rsid w:val="00B040B2"/>
    <w:rsid w:val="00B04261"/>
    <w:rsid w:val="00B050E9"/>
    <w:rsid w:val="00B05CBB"/>
    <w:rsid w:val="00B05F7A"/>
    <w:rsid w:val="00B062D2"/>
    <w:rsid w:val="00B07468"/>
    <w:rsid w:val="00B074D5"/>
    <w:rsid w:val="00B0799F"/>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5E"/>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0D4"/>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851"/>
    <w:rsid w:val="00B35C20"/>
    <w:rsid w:val="00B35CDA"/>
    <w:rsid w:val="00B361CE"/>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9D6"/>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7A"/>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2EFB"/>
    <w:rsid w:val="00BC307F"/>
    <w:rsid w:val="00BC3159"/>
    <w:rsid w:val="00BC3257"/>
    <w:rsid w:val="00BC37A1"/>
    <w:rsid w:val="00BC39DB"/>
    <w:rsid w:val="00BC3A32"/>
    <w:rsid w:val="00BC46EF"/>
    <w:rsid w:val="00BC4BBF"/>
    <w:rsid w:val="00BC5F26"/>
    <w:rsid w:val="00BC6164"/>
    <w:rsid w:val="00BC6892"/>
    <w:rsid w:val="00BC6AA1"/>
    <w:rsid w:val="00BC6FD6"/>
    <w:rsid w:val="00BC79F4"/>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010"/>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825"/>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5C5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660"/>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4B5"/>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C74"/>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89E"/>
    <w:rsid w:val="00CF19DA"/>
    <w:rsid w:val="00CF1B7A"/>
    <w:rsid w:val="00CF1C7F"/>
    <w:rsid w:val="00CF1CC0"/>
    <w:rsid w:val="00CF1DBA"/>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1CE"/>
    <w:rsid w:val="00D12293"/>
    <w:rsid w:val="00D12336"/>
    <w:rsid w:val="00D131DC"/>
    <w:rsid w:val="00D138F8"/>
    <w:rsid w:val="00D13B13"/>
    <w:rsid w:val="00D13F4A"/>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61DC"/>
    <w:rsid w:val="00D47DD0"/>
    <w:rsid w:val="00D50183"/>
    <w:rsid w:val="00D50579"/>
    <w:rsid w:val="00D51589"/>
    <w:rsid w:val="00D51D12"/>
    <w:rsid w:val="00D52D3E"/>
    <w:rsid w:val="00D53348"/>
    <w:rsid w:val="00D5362B"/>
    <w:rsid w:val="00D5378E"/>
    <w:rsid w:val="00D54449"/>
    <w:rsid w:val="00D54CD8"/>
    <w:rsid w:val="00D54F03"/>
    <w:rsid w:val="00D55072"/>
    <w:rsid w:val="00D551B5"/>
    <w:rsid w:val="00D55CEB"/>
    <w:rsid w:val="00D564AD"/>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7F9"/>
    <w:rsid w:val="00DA3E7A"/>
    <w:rsid w:val="00DA430C"/>
    <w:rsid w:val="00DA4603"/>
    <w:rsid w:val="00DA4A52"/>
    <w:rsid w:val="00DA4FBE"/>
    <w:rsid w:val="00DA509C"/>
    <w:rsid w:val="00DA5124"/>
    <w:rsid w:val="00DA60D9"/>
    <w:rsid w:val="00DA615D"/>
    <w:rsid w:val="00DA6363"/>
    <w:rsid w:val="00DA6598"/>
    <w:rsid w:val="00DA6C0F"/>
    <w:rsid w:val="00DA702F"/>
    <w:rsid w:val="00DA732D"/>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53FA"/>
    <w:rsid w:val="00DD5918"/>
    <w:rsid w:val="00DD5F0D"/>
    <w:rsid w:val="00DD5F37"/>
    <w:rsid w:val="00DD5F42"/>
    <w:rsid w:val="00DD60B6"/>
    <w:rsid w:val="00DD617B"/>
    <w:rsid w:val="00DD6346"/>
    <w:rsid w:val="00DD6B09"/>
    <w:rsid w:val="00DD6CCF"/>
    <w:rsid w:val="00DD6D1A"/>
    <w:rsid w:val="00DD748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1FF"/>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4A2"/>
    <w:rsid w:val="00E51DDD"/>
    <w:rsid w:val="00E51FDD"/>
    <w:rsid w:val="00E522CB"/>
    <w:rsid w:val="00E52435"/>
    <w:rsid w:val="00E52D7F"/>
    <w:rsid w:val="00E53122"/>
    <w:rsid w:val="00E5316E"/>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231D"/>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339"/>
    <w:rsid w:val="00EC069D"/>
    <w:rsid w:val="00EC25CF"/>
    <w:rsid w:val="00EC2651"/>
    <w:rsid w:val="00EC2CDE"/>
    <w:rsid w:val="00EC2D00"/>
    <w:rsid w:val="00EC2E2D"/>
    <w:rsid w:val="00EC37AD"/>
    <w:rsid w:val="00EC462B"/>
    <w:rsid w:val="00EC4723"/>
    <w:rsid w:val="00EC56E0"/>
    <w:rsid w:val="00EC6057"/>
    <w:rsid w:val="00EC6847"/>
    <w:rsid w:val="00EC6DC1"/>
    <w:rsid w:val="00EC743C"/>
    <w:rsid w:val="00EC7534"/>
    <w:rsid w:val="00EC770F"/>
    <w:rsid w:val="00EC7C8E"/>
    <w:rsid w:val="00EC7DB6"/>
    <w:rsid w:val="00ED01CD"/>
    <w:rsid w:val="00ED0B07"/>
    <w:rsid w:val="00ED162F"/>
    <w:rsid w:val="00ED1E6D"/>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58"/>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1D7"/>
    <w:rsid w:val="00F123AF"/>
    <w:rsid w:val="00F127BA"/>
    <w:rsid w:val="00F12A51"/>
    <w:rsid w:val="00F12EB7"/>
    <w:rsid w:val="00F13087"/>
    <w:rsid w:val="00F13097"/>
    <w:rsid w:val="00F13376"/>
    <w:rsid w:val="00F133A1"/>
    <w:rsid w:val="00F1368F"/>
    <w:rsid w:val="00F13ECD"/>
    <w:rsid w:val="00F14328"/>
    <w:rsid w:val="00F150A0"/>
    <w:rsid w:val="00F155CE"/>
    <w:rsid w:val="00F156C0"/>
    <w:rsid w:val="00F17166"/>
    <w:rsid w:val="00F174FA"/>
    <w:rsid w:val="00F17610"/>
    <w:rsid w:val="00F17EAE"/>
    <w:rsid w:val="00F17F4D"/>
    <w:rsid w:val="00F2006A"/>
    <w:rsid w:val="00F205F2"/>
    <w:rsid w:val="00F218D4"/>
    <w:rsid w:val="00F2250A"/>
    <w:rsid w:val="00F22738"/>
    <w:rsid w:val="00F22B37"/>
    <w:rsid w:val="00F2307B"/>
    <w:rsid w:val="00F238DC"/>
    <w:rsid w:val="00F24574"/>
    <w:rsid w:val="00F24788"/>
    <w:rsid w:val="00F24A06"/>
    <w:rsid w:val="00F24DEB"/>
    <w:rsid w:val="00F250AB"/>
    <w:rsid w:val="00F2578E"/>
    <w:rsid w:val="00F259D3"/>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6F5D"/>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39E"/>
    <w:rsid w:val="00F516D4"/>
    <w:rsid w:val="00F51E76"/>
    <w:rsid w:val="00F5270F"/>
    <w:rsid w:val="00F5283D"/>
    <w:rsid w:val="00F52ABA"/>
    <w:rsid w:val="00F52B8A"/>
    <w:rsid w:val="00F52BC7"/>
    <w:rsid w:val="00F5315C"/>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42C"/>
    <w:rsid w:val="00F931C7"/>
    <w:rsid w:val="00F93559"/>
    <w:rsid w:val="00F93D72"/>
    <w:rsid w:val="00F93E65"/>
    <w:rsid w:val="00F94070"/>
    <w:rsid w:val="00F946FF"/>
    <w:rsid w:val="00F950B5"/>
    <w:rsid w:val="00F9513F"/>
    <w:rsid w:val="00F95BF6"/>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1D8"/>
    <w:rsid w:val="00FA27C8"/>
    <w:rsid w:val="00FA2C40"/>
    <w:rsid w:val="00FA2D4C"/>
    <w:rsid w:val="00FA2D56"/>
    <w:rsid w:val="00FA329F"/>
    <w:rsid w:val="00FA359C"/>
    <w:rsid w:val="00FA3B76"/>
    <w:rsid w:val="00FA3F02"/>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467"/>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087E"/>
    <w:rsid w:val="00FD1167"/>
    <w:rsid w:val="00FD1A97"/>
    <w:rsid w:val="00FD1AC4"/>
    <w:rsid w:val="00FD2D7B"/>
    <w:rsid w:val="00FD3291"/>
    <w:rsid w:val="00FD37F6"/>
    <w:rsid w:val="00FD4589"/>
    <w:rsid w:val="00FD46DF"/>
    <w:rsid w:val="00FD473E"/>
    <w:rsid w:val="00FD548D"/>
    <w:rsid w:val="00FD55CC"/>
    <w:rsid w:val="00FD57C1"/>
    <w:rsid w:val="00FD59E0"/>
    <w:rsid w:val="00FD5F6D"/>
    <w:rsid w:val="00FD6279"/>
    <w:rsid w:val="00FD78E6"/>
    <w:rsid w:val="00FD7A5E"/>
    <w:rsid w:val="00FD7DF9"/>
    <w:rsid w:val="00FE0B51"/>
    <w:rsid w:val="00FE0B78"/>
    <w:rsid w:val="00FE0D8D"/>
    <w:rsid w:val="00FE0ED4"/>
    <w:rsid w:val="00FE125F"/>
    <w:rsid w:val="00FE16DD"/>
    <w:rsid w:val="00FE1EAB"/>
    <w:rsid w:val="00FE1F4B"/>
    <w:rsid w:val="00FE27D8"/>
    <w:rsid w:val="00FE2AB3"/>
    <w:rsid w:val="00FE2F08"/>
    <w:rsid w:val="00FE3465"/>
    <w:rsid w:val="00FE3B65"/>
    <w:rsid w:val="00FE3C68"/>
    <w:rsid w:val="00FE46B5"/>
    <w:rsid w:val="00FE51F6"/>
    <w:rsid w:val="00FE52B9"/>
    <w:rsid w:val="00FE590D"/>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3EC8"/>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836CEC15-F2E5-40C7-9698-C4D929B8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 ??,?????,????,Lista1,列出段落,목록 단락,列出段落1,中等深浅网格 1 - 着色 2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styleId="TOC8">
    <w:name w:val="toc 8"/>
    <w:basedOn w:val="Normal"/>
    <w:next w:val="Normal"/>
    <w:autoRedefine/>
    <w:semiHidden/>
    <w:unhideWhenUsed/>
    <w:rsid w:val="00D26F78"/>
    <w:pPr>
      <w:ind w:leftChars="1400" w:left="2940"/>
    </w:pPr>
  </w:style>
  <w:style w:type="paragraph" w:customStyle="1" w:styleId="LGTdoc">
    <w:name w:val="LGTdoc_본문"/>
    <w:basedOn w:val="Normal"/>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Doc-titleChar">
    <w:name w:val="Doc-title Char"/>
    <w:link w:val="Doc-title"/>
    <w:locked/>
    <w:rsid w:val="00467D22"/>
    <w:rPr>
      <w:rFonts w:ascii="Arial" w:eastAsia="MS Mincho" w:hAnsi="Arial" w:cs="Arial"/>
      <w:szCs w:val="24"/>
      <w:lang w:val="en-GB" w:eastAsia="en-GB"/>
    </w:rPr>
  </w:style>
  <w:style w:type="paragraph" w:customStyle="1" w:styleId="Doc-title">
    <w:name w:val="Doc-title"/>
    <w:basedOn w:val="Normal"/>
    <w:next w:val="Doc-text2"/>
    <w:link w:val="Doc-titleChar"/>
    <w:qFormat/>
    <w:rsid w:val="00467D22"/>
    <w:pPr>
      <w:autoSpaceDE/>
      <w:autoSpaceDN/>
      <w:adjustRightInd/>
      <w:snapToGrid/>
      <w:spacing w:before="180" w:after="0"/>
      <w:ind w:left="1259" w:hanging="1259"/>
      <w:jc w:val="left"/>
    </w:pPr>
    <w:rPr>
      <w:rFonts w:ascii="Arial" w:eastAsia="MS Mincho" w:hAnsi="Arial" w:cs="Arial"/>
      <w:sz w:val="20"/>
      <w:szCs w:val="24"/>
      <w:lang w:val="en-GB" w:eastAsia="en-GB"/>
    </w:rPr>
  </w:style>
  <w:style w:type="paragraph" w:customStyle="1" w:styleId="Agreement">
    <w:name w:val="Agreement"/>
    <w:basedOn w:val="Normal"/>
    <w:next w:val="Doc-text2"/>
    <w:uiPriority w:val="99"/>
    <w:rsid w:val="00ED1E6D"/>
    <w:pPr>
      <w:numPr>
        <w:numId w:val="25"/>
      </w:numPr>
      <w:autoSpaceDE/>
      <w:autoSpaceDN/>
      <w:adjustRightInd/>
      <w:snapToGrid/>
      <w:spacing w:before="60" w:after="0"/>
      <w:jc w:val="left"/>
    </w:pPr>
    <w:rPr>
      <w:rFonts w:ascii="Arial" w:eastAsia="MS Mincho" w:hAnsi="Arial"/>
      <w:b/>
      <w:sz w:val="20"/>
      <w:szCs w:val="24"/>
      <w:lang w:val="en-GB" w:eastAsia="en-GB"/>
    </w:rPr>
  </w:style>
  <w:style w:type="character" w:customStyle="1" w:styleId="a">
    <w:name w:val="テキスト (文字)"/>
    <w:link w:val="a0"/>
    <w:locked/>
    <w:rsid w:val="001227F5"/>
    <w:rPr>
      <w:rFonts w:ascii="Century" w:hAnsi="Century"/>
      <w:kern w:val="2"/>
      <w:sz w:val="21"/>
      <w:szCs w:val="22"/>
      <w:lang w:val="en-GB"/>
    </w:rPr>
  </w:style>
  <w:style w:type="paragraph" w:customStyle="1" w:styleId="a0">
    <w:name w:val="テキスト"/>
    <w:basedOn w:val="Normal"/>
    <w:link w:val="a"/>
    <w:qFormat/>
    <w:rsid w:val="001227F5"/>
    <w:pPr>
      <w:widowControl w:val="0"/>
      <w:autoSpaceDE/>
      <w:autoSpaceDN/>
      <w:adjustRightInd/>
      <w:snapToGrid/>
      <w:spacing w:afterLines="50" w:after="0" w:line="320" w:lineRule="exact"/>
      <w:ind w:firstLineChars="100" w:firstLine="210"/>
    </w:pPr>
    <w:rPr>
      <w:rFonts w:ascii="Century" w:hAnsi="Century"/>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3708948">
      <w:bodyDiv w:val="1"/>
      <w:marLeft w:val="0"/>
      <w:marRight w:val="0"/>
      <w:marTop w:val="0"/>
      <w:marBottom w:val="0"/>
      <w:divBdr>
        <w:top w:val="none" w:sz="0" w:space="0" w:color="auto"/>
        <w:left w:val="none" w:sz="0" w:space="0" w:color="auto"/>
        <w:bottom w:val="none" w:sz="0" w:space="0" w:color="auto"/>
        <w:right w:val="none" w:sz="0" w:space="0" w:color="auto"/>
      </w:divBdr>
      <w:divsChild>
        <w:div w:id="141700103">
          <w:marLeft w:val="274"/>
          <w:marRight w:val="0"/>
          <w:marTop w:val="240"/>
          <w:marBottom w:val="0"/>
          <w:divBdr>
            <w:top w:val="none" w:sz="0" w:space="0" w:color="auto"/>
            <w:left w:val="none" w:sz="0" w:space="0" w:color="auto"/>
            <w:bottom w:val="none" w:sz="0" w:space="0" w:color="auto"/>
            <w:right w:val="none" w:sz="0" w:space="0" w:color="auto"/>
          </w:divBdr>
        </w:div>
        <w:div w:id="1156334000">
          <w:marLeft w:val="274"/>
          <w:marRight w:val="0"/>
          <w:marTop w:val="240"/>
          <w:marBottom w:val="0"/>
          <w:divBdr>
            <w:top w:val="none" w:sz="0" w:space="0" w:color="auto"/>
            <w:left w:val="none" w:sz="0" w:space="0" w:color="auto"/>
            <w:bottom w:val="none" w:sz="0" w:space="0" w:color="auto"/>
            <w:right w:val="none" w:sz="0" w:space="0" w:color="auto"/>
          </w:divBdr>
        </w:div>
        <w:div w:id="1895508425">
          <w:marLeft w:val="533"/>
          <w:marRight w:val="0"/>
          <w:marTop w:val="0"/>
          <w:marBottom w:val="0"/>
          <w:divBdr>
            <w:top w:val="none" w:sz="0" w:space="0" w:color="auto"/>
            <w:left w:val="none" w:sz="0" w:space="0" w:color="auto"/>
            <w:bottom w:val="none" w:sz="0" w:space="0" w:color="auto"/>
            <w:right w:val="none" w:sz="0" w:space="0" w:color="auto"/>
          </w:divBdr>
        </w:div>
        <w:div w:id="123163244">
          <w:marLeft w:val="274"/>
          <w:marRight w:val="0"/>
          <w:marTop w:val="24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38649784">
      <w:bodyDiv w:val="1"/>
      <w:marLeft w:val="0"/>
      <w:marRight w:val="0"/>
      <w:marTop w:val="0"/>
      <w:marBottom w:val="0"/>
      <w:divBdr>
        <w:top w:val="none" w:sz="0" w:space="0" w:color="auto"/>
        <w:left w:val="none" w:sz="0" w:space="0" w:color="auto"/>
        <w:bottom w:val="none" w:sz="0" w:space="0" w:color="auto"/>
        <w:right w:val="none" w:sz="0" w:space="0" w:color="auto"/>
      </w:divBdr>
    </w:div>
    <w:div w:id="1148791465">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730942">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7287187E-F9DB-49CC-8C72-9F04A2952CD5}">
  <ds:schemaRefs>
    <ds:schemaRef ds:uri="http://schemas.openxmlformats.org/officeDocument/2006/bibliography"/>
  </ds:schemaRefs>
</ds:datastoreItem>
</file>

<file path=customXml/itemProps2.xml><?xml version="1.0" encoding="utf-8"?>
<ds:datastoreItem xmlns:ds="http://schemas.openxmlformats.org/officeDocument/2006/customXml" ds:itemID="{9AF1AFAC-E7FD-496E-BF75-0890B6061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750</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Berggren, Anders</cp:lastModifiedBy>
  <cp:revision>3</cp:revision>
  <cp:lastPrinted>2017-08-08T10:03:00Z</cp:lastPrinted>
  <dcterms:created xsi:type="dcterms:W3CDTF">2019-03-28T13:56:00Z</dcterms:created>
  <dcterms:modified xsi:type="dcterms:W3CDTF">2019-03-28T14:00:00Z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